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370D" w14:textId="3F1F6D64" w:rsidR="007C1192" w:rsidRPr="00535EBB" w:rsidRDefault="007C1192" w:rsidP="002601E2">
      <w:pPr>
        <w:pStyle w:val="Heading1"/>
      </w:pPr>
      <w:bookmarkStart w:id="0" w:name="_Toc210808979"/>
      <w:r w:rsidRPr="00535EBB">
        <w:t>Business Valuation</w:t>
      </w:r>
      <w:bookmarkEnd w:id="0"/>
      <w:r w:rsidRPr="00535EBB">
        <w:t xml:space="preserve"> </w:t>
      </w:r>
    </w:p>
    <w:p w14:paraId="4D7D34C1" w14:textId="3CD06DB5" w:rsidR="00031996" w:rsidRPr="00535EBB" w:rsidRDefault="00031996" w:rsidP="00C92B12">
      <w:pPr>
        <w:jc w:val="both"/>
        <w:rPr>
          <w:rFonts w:ascii="Arial" w:hAnsi="Arial" w:cs="Arial"/>
        </w:rPr>
      </w:pPr>
      <w:r w:rsidRPr="00535EBB">
        <w:rPr>
          <w:rFonts w:ascii="Arial" w:hAnsi="Arial" w:cs="Arial"/>
          <w:b/>
          <w:bCs/>
          <w:i/>
          <w:iCs/>
        </w:rPr>
        <w:t>West v. West</w:t>
      </w:r>
      <w:r w:rsidRPr="00535EBB">
        <w:rPr>
          <w:rFonts w:ascii="Arial" w:hAnsi="Arial" w:cs="Arial"/>
          <w:b/>
          <w:bCs/>
        </w:rPr>
        <w:t>, 2024-Ohio-1086 (9th Dist.).</w:t>
      </w:r>
      <w:r w:rsidR="00586CA0" w:rsidRPr="00535EBB">
        <w:rPr>
          <w:rFonts w:ascii="Arial" w:hAnsi="Arial" w:cs="Arial"/>
          <w:b/>
          <w:bCs/>
        </w:rPr>
        <w:t xml:space="preserve"> </w:t>
      </w:r>
      <w:r w:rsidR="00586CA0" w:rsidRPr="00535EBB">
        <w:rPr>
          <w:rFonts w:ascii="Arial" w:hAnsi="Arial" w:cs="Arial"/>
        </w:rPr>
        <w:t xml:space="preserve">– </w:t>
      </w:r>
      <w:r w:rsidR="00583546" w:rsidRPr="00535EBB">
        <w:rPr>
          <w:rFonts w:ascii="Arial" w:hAnsi="Arial" w:cs="Arial"/>
        </w:rPr>
        <w:t xml:space="preserve">There was no </w:t>
      </w:r>
      <w:r w:rsidR="00586CA0" w:rsidRPr="00535EBB">
        <w:rPr>
          <w:rFonts w:ascii="Arial" w:hAnsi="Arial" w:cs="Arial"/>
        </w:rPr>
        <w:t>expert business valuation; however, the trial court determined the business valuation by calculating its book value (assets-liabilities).</w:t>
      </w:r>
    </w:p>
    <w:p w14:paraId="328626BB" w14:textId="30498135" w:rsidR="00031996" w:rsidRPr="00535EBB" w:rsidRDefault="00265565" w:rsidP="00C92B12">
      <w:pPr>
        <w:pStyle w:val="ListParagraph"/>
        <w:numPr>
          <w:ilvl w:val="0"/>
          <w:numId w:val="2"/>
        </w:numPr>
        <w:jc w:val="both"/>
        <w:rPr>
          <w:rFonts w:ascii="Arial" w:hAnsi="Arial" w:cs="Arial"/>
        </w:rPr>
      </w:pPr>
      <w:r w:rsidRPr="00535EBB">
        <w:rPr>
          <w:rFonts w:ascii="Arial" w:hAnsi="Arial" w:cs="Arial"/>
        </w:rPr>
        <w:t>Facts</w:t>
      </w:r>
    </w:p>
    <w:p w14:paraId="6FFC28B4" w14:textId="4381CF18" w:rsidR="00265565" w:rsidRPr="00535EBB" w:rsidRDefault="00265565" w:rsidP="00C92B12">
      <w:pPr>
        <w:pStyle w:val="ListParagraph"/>
        <w:numPr>
          <w:ilvl w:val="1"/>
          <w:numId w:val="2"/>
        </w:numPr>
        <w:jc w:val="both"/>
        <w:rPr>
          <w:rFonts w:ascii="Arial" w:hAnsi="Arial" w:cs="Arial"/>
        </w:rPr>
      </w:pPr>
      <w:r w:rsidRPr="00535EBB">
        <w:rPr>
          <w:rFonts w:ascii="Arial" w:hAnsi="Arial" w:cs="Arial"/>
        </w:rPr>
        <w:t xml:space="preserve">Husband and Wife </w:t>
      </w:r>
      <w:r w:rsidR="009140F4" w:rsidRPr="00535EBB">
        <w:rPr>
          <w:rFonts w:ascii="Arial" w:hAnsi="Arial" w:cs="Arial"/>
        </w:rPr>
        <w:t xml:space="preserve">owned a </w:t>
      </w:r>
      <w:r w:rsidR="001F4925" w:rsidRPr="00535EBB">
        <w:rPr>
          <w:rFonts w:ascii="Arial" w:hAnsi="Arial" w:cs="Arial"/>
        </w:rPr>
        <w:t xml:space="preserve">business that </w:t>
      </w:r>
      <w:r w:rsidR="000E661A" w:rsidRPr="00535EBB">
        <w:rPr>
          <w:rFonts w:ascii="Arial" w:hAnsi="Arial" w:cs="Arial"/>
        </w:rPr>
        <w:t xml:space="preserve">was their primary source of income during the marriage (the business </w:t>
      </w:r>
      <w:r w:rsidR="001F4925" w:rsidRPr="00535EBB">
        <w:rPr>
          <w:rFonts w:ascii="Arial" w:hAnsi="Arial" w:cs="Arial"/>
        </w:rPr>
        <w:t>manufactured and assembled racecars, firearms, and paintball guns</w:t>
      </w:r>
      <w:r w:rsidR="000E661A" w:rsidRPr="00535EBB">
        <w:rPr>
          <w:rFonts w:ascii="Arial" w:hAnsi="Arial" w:cs="Arial"/>
        </w:rPr>
        <w:t>).</w:t>
      </w:r>
    </w:p>
    <w:p w14:paraId="6C7E0998" w14:textId="45896760" w:rsidR="001F4925" w:rsidRPr="00535EBB" w:rsidRDefault="001F4925" w:rsidP="00C92B12">
      <w:pPr>
        <w:pStyle w:val="ListParagraph"/>
        <w:numPr>
          <w:ilvl w:val="1"/>
          <w:numId w:val="2"/>
        </w:numPr>
        <w:jc w:val="both"/>
        <w:rPr>
          <w:rFonts w:ascii="Arial" w:hAnsi="Arial" w:cs="Arial"/>
          <w:b/>
          <w:bCs/>
        </w:rPr>
      </w:pPr>
      <w:r w:rsidRPr="00535EBB">
        <w:rPr>
          <w:rFonts w:ascii="Arial" w:hAnsi="Arial" w:cs="Arial"/>
          <w:b/>
          <w:bCs/>
        </w:rPr>
        <w:t xml:space="preserve">Neither party </w:t>
      </w:r>
      <w:r w:rsidR="00012721" w:rsidRPr="00535EBB">
        <w:rPr>
          <w:rFonts w:ascii="Arial" w:hAnsi="Arial" w:cs="Arial"/>
          <w:b/>
          <w:bCs/>
        </w:rPr>
        <w:t>presented an expe</w:t>
      </w:r>
      <w:r w:rsidR="007754EF" w:rsidRPr="00535EBB">
        <w:rPr>
          <w:rFonts w:ascii="Arial" w:hAnsi="Arial" w:cs="Arial"/>
          <w:b/>
          <w:bCs/>
        </w:rPr>
        <w:t>rt business valuation nor provided much evidence to the trial cou</w:t>
      </w:r>
      <w:r w:rsidR="00C278F5" w:rsidRPr="00535EBB">
        <w:rPr>
          <w:rFonts w:ascii="Arial" w:hAnsi="Arial" w:cs="Arial"/>
          <w:b/>
          <w:bCs/>
        </w:rPr>
        <w:t xml:space="preserve">rt upon which to base the valuation </w:t>
      </w:r>
    </w:p>
    <w:p w14:paraId="641DEF6A" w14:textId="53214FB3" w:rsidR="00C278F5" w:rsidRPr="00535EBB" w:rsidRDefault="00C278F5" w:rsidP="00C92B12">
      <w:pPr>
        <w:pStyle w:val="ListParagraph"/>
        <w:numPr>
          <w:ilvl w:val="1"/>
          <w:numId w:val="2"/>
        </w:numPr>
        <w:jc w:val="both"/>
        <w:rPr>
          <w:rFonts w:ascii="Arial" w:hAnsi="Arial" w:cs="Arial"/>
        </w:rPr>
      </w:pPr>
      <w:r w:rsidRPr="00535EBB">
        <w:rPr>
          <w:rFonts w:ascii="Arial" w:hAnsi="Arial" w:cs="Arial"/>
        </w:rPr>
        <w:t xml:space="preserve">Initially, the magistrate </w:t>
      </w:r>
      <w:r w:rsidR="00A300F7" w:rsidRPr="00535EBB">
        <w:rPr>
          <w:rFonts w:ascii="Arial" w:hAnsi="Arial" w:cs="Arial"/>
        </w:rPr>
        <w:t xml:space="preserve">concluded the value of the couple’s business </w:t>
      </w:r>
      <w:r w:rsidR="00D8247B" w:rsidRPr="00535EBB">
        <w:rPr>
          <w:rFonts w:ascii="Arial" w:hAnsi="Arial" w:cs="Arial"/>
        </w:rPr>
        <w:t>as $541,067.57</w:t>
      </w:r>
      <w:r w:rsidR="00C451A3" w:rsidRPr="00535EBB">
        <w:rPr>
          <w:rFonts w:ascii="Arial" w:hAnsi="Arial" w:cs="Arial"/>
        </w:rPr>
        <w:t xml:space="preserve"> based on the depreciable asse</w:t>
      </w:r>
      <w:r w:rsidR="00107AE6" w:rsidRPr="00535EBB">
        <w:rPr>
          <w:rFonts w:ascii="Arial" w:hAnsi="Arial" w:cs="Arial"/>
        </w:rPr>
        <w:t>ts ($477,866) on the company’s tax returns.</w:t>
      </w:r>
    </w:p>
    <w:p w14:paraId="2B43062E" w14:textId="62779388" w:rsidR="00107AE6" w:rsidRPr="00535EBB" w:rsidRDefault="00107AE6" w:rsidP="00C92B12">
      <w:pPr>
        <w:pStyle w:val="ListParagraph"/>
        <w:numPr>
          <w:ilvl w:val="1"/>
          <w:numId w:val="2"/>
        </w:numPr>
        <w:jc w:val="both"/>
        <w:rPr>
          <w:rFonts w:ascii="Arial" w:hAnsi="Arial" w:cs="Arial"/>
        </w:rPr>
      </w:pPr>
      <w:r w:rsidRPr="00535EBB">
        <w:rPr>
          <w:rFonts w:ascii="Arial" w:hAnsi="Arial" w:cs="Arial"/>
        </w:rPr>
        <w:t>After the husband’s objection</w:t>
      </w:r>
      <w:r w:rsidR="00CA2FFD" w:rsidRPr="00535EBB">
        <w:rPr>
          <w:rFonts w:ascii="Arial" w:hAnsi="Arial" w:cs="Arial"/>
        </w:rPr>
        <w:t>, the trial court remanded the matter to the magistrate to determine the book value (assets-liabilities) of the company.</w:t>
      </w:r>
    </w:p>
    <w:p w14:paraId="2BD51FB8" w14:textId="4BD578AA" w:rsidR="00CA2FFD" w:rsidRPr="00535EBB" w:rsidRDefault="00CA2FFD" w:rsidP="00C92B12">
      <w:pPr>
        <w:pStyle w:val="ListParagraph"/>
        <w:numPr>
          <w:ilvl w:val="1"/>
          <w:numId w:val="2"/>
        </w:numPr>
        <w:jc w:val="both"/>
        <w:rPr>
          <w:rFonts w:ascii="Arial" w:hAnsi="Arial" w:cs="Arial"/>
        </w:rPr>
      </w:pPr>
      <w:r w:rsidRPr="00535EBB">
        <w:rPr>
          <w:rFonts w:ascii="Arial" w:hAnsi="Arial" w:cs="Arial"/>
        </w:rPr>
        <w:t xml:space="preserve">The magistrate </w:t>
      </w:r>
      <w:r w:rsidR="00F059C8" w:rsidRPr="00535EBB">
        <w:rPr>
          <w:rFonts w:ascii="Arial" w:hAnsi="Arial" w:cs="Arial"/>
        </w:rPr>
        <w:t>then determined the business’s value to be $27,142.88.</w:t>
      </w:r>
    </w:p>
    <w:p w14:paraId="59C3875E" w14:textId="054CFCEC" w:rsidR="002C160F" w:rsidRPr="00535EBB" w:rsidRDefault="002C160F" w:rsidP="00C92B12">
      <w:pPr>
        <w:pStyle w:val="ListParagraph"/>
        <w:numPr>
          <w:ilvl w:val="1"/>
          <w:numId w:val="2"/>
        </w:numPr>
        <w:jc w:val="both"/>
        <w:rPr>
          <w:rFonts w:ascii="Arial" w:hAnsi="Arial" w:cs="Arial"/>
        </w:rPr>
      </w:pPr>
      <w:r w:rsidRPr="00535EBB">
        <w:rPr>
          <w:rFonts w:ascii="Arial" w:hAnsi="Arial" w:cs="Arial"/>
        </w:rPr>
        <w:t xml:space="preserve">Wife objected, </w:t>
      </w:r>
      <w:r w:rsidR="00E329F1" w:rsidRPr="00535EBB">
        <w:rPr>
          <w:rFonts w:ascii="Arial" w:hAnsi="Arial" w:cs="Arial"/>
        </w:rPr>
        <w:t>arguing that</w:t>
      </w:r>
      <w:r w:rsidRPr="00535EBB">
        <w:rPr>
          <w:rFonts w:ascii="Arial" w:hAnsi="Arial" w:cs="Arial"/>
        </w:rPr>
        <w:t xml:space="preserve"> the court did not possess sufficient evidence to value the business, including a professional business val</w:t>
      </w:r>
      <w:r w:rsidR="00BC51F0" w:rsidRPr="00535EBB">
        <w:rPr>
          <w:rFonts w:ascii="Arial" w:hAnsi="Arial" w:cs="Arial"/>
        </w:rPr>
        <w:t>uation, a balance sheet, or a statement of cash flow.</w:t>
      </w:r>
    </w:p>
    <w:p w14:paraId="210AB77C" w14:textId="0C987442" w:rsidR="006F2AC8" w:rsidRPr="00535EBB" w:rsidRDefault="006F2AC8" w:rsidP="00C92B12">
      <w:pPr>
        <w:pStyle w:val="ListParagraph"/>
        <w:numPr>
          <w:ilvl w:val="0"/>
          <w:numId w:val="2"/>
        </w:numPr>
        <w:jc w:val="both"/>
        <w:rPr>
          <w:rFonts w:ascii="Arial" w:hAnsi="Arial" w:cs="Arial"/>
        </w:rPr>
      </w:pPr>
      <w:r w:rsidRPr="00535EBB">
        <w:rPr>
          <w:rFonts w:ascii="Arial" w:hAnsi="Arial" w:cs="Arial"/>
        </w:rPr>
        <w:lastRenderedPageBreak/>
        <w:t xml:space="preserve">Law </w:t>
      </w:r>
    </w:p>
    <w:p w14:paraId="4B19B70B" w14:textId="3E60A551" w:rsidR="006F2AC8" w:rsidRPr="00535EBB" w:rsidRDefault="006F2AC8" w:rsidP="00C92B12">
      <w:pPr>
        <w:pStyle w:val="ListParagraph"/>
        <w:numPr>
          <w:ilvl w:val="1"/>
          <w:numId w:val="2"/>
        </w:numPr>
        <w:jc w:val="both"/>
        <w:rPr>
          <w:rFonts w:ascii="Arial" w:hAnsi="Arial" w:cs="Arial"/>
        </w:rPr>
      </w:pPr>
      <w:r w:rsidRPr="00535EBB">
        <w:rPr>
          <w:rFonts w:ascii="Arial" w:hAnsi="Arial" w:cs="Arial"/>
        </w:rPr>
        <w:t xml:space="preserve">“A trial court has discretion in determining how to value a marital asset and in fashioning an equitable division of marital property.” </w:t>
      </w:r>
    </w:p>
    <w:p w14:paraId="55E84EFE" w14:textId="2BFFC86B" w:rsidR="00F059C8" w:rsidRPr="00535EBB" w:rsidRDefault="00F059C8" w:rsidP="00C92B12">
      <w:pPr>
        <w:pStyle w:val="ListParagraph"/>
        <w:numPr>
          <w:ilvl w:val="0"/>
          <w:numId w:val="2"/>
        </w:numPr>
        <w:jc w:val="both"/>
        <w:rPr>
          <w:rFonts w:ascii="Arial" w:hAnsi="Arial" w:cs="Arial"/>
        </w:rPr>
      </w:pPr>
      <w:r w:rsidRPr="00535EBB">
        <w:rPr>
          <w:rFonts w:ascii="Arial" w:hAnsi="Arial" w:cs="Arial"/>
        </w:rPr>
        <w:t>Holding</w:t>
      </w:r>
      <w:r w:rsidR="00BC51F0" w:rsidRPr="00535EBB">
        <w:rPr>
          <w:rFonts w:ascii="Arial" w:hAnsi="Arial" w:cs="Arial"/>
        </w:rPr>
        <w:t xml:space="preserve">/Reasoning </w:t>
      </w:r>
    </w:p>
    <w:p w14:paraId="30483555" w14:textId="169F703C" w:rsidR="00F059C8" w:rsidRPr="00535EBB" w:rsidRDefault="00590D9C" w:rsidP="00C92B12">
      <w:pPr>
        <w:pStyle w:val="ListParagraph"/>
        <w:numPr>
          <w:ilvl w:val="1"/>
          <w:numId w:val="2"/>
        </w:numPr>
        <w:jc w:val="both"/>
        <w:rPr>
          <w:rFonts w:ascii="Arial" w:hAnsi="Arial" w:cs="Arial"/>
          <w:b/>
          <w:bCs/>
        </w:rPr>
      </w:pPr>
      <w:r w:rsidRPr="00535EBB">
        <w:rPr>
          <w:rFonts w:ascii="Arial" w:hAnsi="Arial" w:cs="Arial"/>
        </w:rPr>
        <w:t>The trial court’s</w:t>
      </w:r>
      <w:r w:rsidR="005C456C" w:rsidRPr="00535EBB">
        <w:rPr>
          <w:rFonts w:ascii="Arial" w:hAnsi="Arial" w:cs="Arial"/>
        </w:rPr>
        <w:t xml:space="preserve"> valuation was not an abuse of discretion.</w:t>
      </w:r>
      <w:r w:rsidR="005C456C" w:rsidRPr="00535EBB">
        <w:rPr>
          <w:rFonts w:ascii="Arial" w:hAnsi="Arial" w:cs="Arial"/>
          <w:b/>
          <w:bCs/>
        </w:rPr>
        <w:t xml:space="preserve"> The book value (assets-liabilities) was an appropriate calculation </w:t>
      </w:r>
      <w:r w:rsidR="00E329F1" w:rsidRPr="00535EBB">
        <w:rPr>
          <w:rFonts w:ascii="Arial" w:hAnsi="Arial" w:cs="Arial"/>
          <w:b/>
          <w:bCs/>
        </w:rPr>
        <w:t xml:space="preserve">in valuing the parties’ business. </w:t>
      </w:r>
    </w:p>
    <w:p w14:paraId="5F7B5848" w14:textId="1CDA3653" w:rsidR="00D90B4A" w:rsidRPr="00535EBB" w:rsidRDefault="00D90B4A" w:rsidP="00C92B12">
      <w:pPr>
        <w:pStyle w:val="ListParagraph"/>
        <w:numPr>
          <w:ilvl w:val="1"/>
          <w:numId w:val="2"/>
        </w:numPr>
        <w:jc w:val="both"/>
        <w:rPr>
          <w:rFonts w:ascii="Arial" w:hAnsi="Arial" w:cs="Arial"/>
        </w:rPr>
      </w:pPr>
      <w:r w:rsidRPr="00535EBB">
        <w:rPr>
          <w:rFonts w:ascii="Arial" w:hAnsi="Arial" w:cs="Arial"/>
        </w:rPr>
        <w:t xml:space="preserve">Further, the wife </w:t>
      </w:r>
      <w:r w:rsidR="002478C1" w:rsidRPr="00535EBB">
        <w:rPr>
          <w:rFonts w:ascii="Arial" w:hAnsi="Arial" w:cs="Arial"/>
        </w:rPr>
        <w:t>failed to explain how the trial court’s valuation approach was unwarranted</w:t>
      </w:r>
      <w:r w:rsidR="00156D44" w:rsidRPr="00535EBB">
        <w:rPr>
          <w:rFonts w:ascii="Arial" w:hAnsi="Arial" w:cs="Arial"/>
        </w:rPr>
        <w:t xml:space="preserve">, and she did not allege the trial court miscalculated or omitted an asset or liability in valuing the business. </w:t>
      </w:r>
    </w:p>
    <w:p w14:paraId="78780928" w14:textId="77B956EB" w:rsidR="00B322BF" w:rsidRPr="00535EBB" w:rsidRDefault="00B322BF" w:rsidP="00B322BF">
      <w:pPr>
        <w:jc w:val="both"/>
        <w:rPr>
          <w:rFonts w:ascii="Arial" w:hAnsi="Arial" w:cs="Arial"/>
        </w:rPr>
      </w:pPr>
      <w:r w:rsidRPr="00535EBB">
        <w:rPr>
          <w:rFonts w:ascii="Arial" w:hAnsi="Arial" w:cs="Arial"/>
          <w:b/>
          <w:bCs/>
          <w:i/>
          <w:iCs/>
        </w:rPr>
        <w:t>Granada v. Rojas</w:t>
      </w:r>
      <w:r w:rsidRPr="00535EBB">
        <w:rPr>
          <w:rFonts w:ascii="Arial" w:hAnsi="Arial" w:cs="Arial"/>
          <w:b/>
          <w:bCs/>
        </w:rPr>
        <w:t>, 2024-Ohio-1272 (8th Dist.).</w:t>
      </w:r>
      <w:r w:rsidRPr="00535EBB">
        <w:rPr>
          <w:rFonts w:ascii="Arial" w:hAnsi="Arial" w:cs="Arial"/>
        </w:rPr>
        <w:t xml:space="preserve"> – </w:t>
      </w:r>
      <w:r w:rsidR="00991DF8" w:rsidRPr="00535EBB">
        <w:rPr>
          <w:rFonts w:ascii="Arial" w:hAnsi="Arial" w:cs="Arial"/>
        </w:rPr>
        <w:t xml:space="preserve">The trial court was proper in </w:t>
      </w:r>
      <w:r w:rsidR="00372708" w:rsidRPr="00535EBB">
        <w:rPr>
          <w:rFonts w:ascii="Arial" w:hAnsi="Arial" w:cs="Arial"/>
        </w:rPr>
        <w:t>rejecting the wife’s expert and finding</w:t>
      </w:r>
      <w:r w:rsidR="00991DF8" w:rsidRPr="00535EBB">
        <w:rPr>
          <w:rFonts w:ascii="Arial" w:hAnsi="Arial" w:cs="Arial"/>
        </w:rPr>
        <w:t xml:space="preserve"> t</w:t>
      </w:r>
      <w:r w:rsidR="00051806" w:rsidRPr="00535EBB">
        <w:rPr>
          <w:rFonts w:ascii="Arial" w:hAnsi="Arial" w:cs="Arial"/>
        </w:rPr>
        <w:t>h</w:t>
      </w:r>
      <w:r w:rsidR="00991DF8" w:rsidRPr="00535EBB">
        <w:rPr>
          <w:rFonts w:ascii="Arial" w:hAnsi="Arial" w:cs="Arial"/>
        </w:rPr>
        <w:t xml:space="preserve">e business valuation </w:t>
      </w:r>
      <w:r w:rsidR="00372708" w:rsidRPr="00535EBB">
        <w:rPr>
          <w:rFonts w:ascii="Arial" w:hAnsi="Arial" w:cs="Arial"/>
        </w:rPr>
        <w:t xml:space="preserve">provided by the husband’s expert was </w:t>
      </w:r>
      <w:r w:rsidR="00991DF8" w:rsidRPr="00535EBB">
        <w:rPr>
          <w:rFonts w:ascii="Arial" w:hAnsi="Arial" w:cs="Arial"/>
        </w:rPr>
        <w:t>more credible</w:t>
      </w:r>
      <w:r w:rsidR="00051806" w:rsidRPr="00535EBB">
        <w:rPr>
          <w:rFonts w:ascii="Arial" w:hAnsi="Arial" w:cs="Arial"/>
        </w:rPr>
        <w:t>,</w:t>
      </w:r>
      <w:r w:rsidR="00991DF8" w:rsidRPr="00535EBB">
        <w:rPr>
          <w:rFonts w:ascii="Arial" w:hAnsi="Arial" w:cs="Arial"/>
        </w:rPr>
        <w:t xml:space="preserve"> </w:t>
      </w:r>
      <w:r w:rsidR="00372708" w:rsidRPr="00535EBB">
        <w:rPr>
          <w:rFonts w:ascii="Arial" w:hAnsi="Arial" w:cs="Arial"/>
        </w:rPr>
        <w:t xml:space="preserve">given </w:t>
      </w:r>
      <w:r w:rsidR="00513DCD" w:rsidRPr="00535EBB">
        <w:rPr>
          <w:rFonts w:ascii="Arial" w:hAnsi="Arial" w:cs="Arial"/>
        </w:rPr>
        <w:t>t</w:t>
      </w:r>
      <w:r w:rsidR="00372708" w:rsidRPr="00535EBB">
        <w:rPr>
          <w:rFonts w:ascii="Arial" w:hAnsi="Arial" w:cs="Arial"/>
        </w:rPr>
        <w:t xml:space="preserve">he </w:t>
      </w:r>
      <w:r w:rsidR="00051806" w:rsidRPr="00535EBB">
        <w:rPr>
          <w:rFonts w:ascii="Arial" w:hAnsi="Arial" w:cs="Arial"/>
        </w:rPr>
        <w:t xml:space="preserve">fact that the business was new and </w:t>
      </w:r>
      <w:r w:rsidR="00834672" w:rsidRPr="00535EBB">
        <w:rPr>
          <w:rFonts w:ascii="Arial" w:hAnsi="Arial" w:cs="Arial"/>
        </w:rPr>
        <w:t>difficult to value.</w:t>
      </w:r>
    </w:p>
    <w:p w14:paraId="74126B27" w14:textId="51F540DC" w:rsidR="00B322BF" w:rsidRPr="00535EBB" w:rsidRDefault="00B322BF" w:rsidP="00B322BF">
      <w:pPr>
        <w:pStyle w:val="ListParagraph"/>
        <w:numPr>
          <w:ilvl w:val="0"/>
          <w:numId w:val="8"/>
        </w:numPr>
        <w:jc w:val="both"/>
        <w:rPr>
          <w:rFonts w:ascii="Arial" w:hAnsi="Arial" w:cs="Arial"/>
        </w:rPr>
      </w:pPr>
      <w:r w:rsidRPr="00535EBB">
        <w:rPr>
          <w:rFonts w:ascii="Arial" w:hAnsi="Arial" w:cs="Arial"/>
        </w:rPr>
        <w:t xml:space="preserve">Facts </w:t>
      </w:r>
    </w:p>
    <w:p w14:paraId="757B4B48" w14:textId="20A688CF" w:rsidR="00B322BF" w:rsidRPr="00535EBB" w:rsidRDefault="00FD444A" w:rsidP="00B322BF">
      <w:pPr>
        <w:pStyle w:val="ListParagraph"/>
        <w:numPr>
          <w:ilvl w:val="1"/>
          <w:numId w:val="8"/>
        </w:numPr>
        <w:jc w:val="both"/>
        <w:rPr>
          <w:rFonts w:ascii="Arial" w:hAnsi="Arial" w:cs="Arial"/>
        </w:rPr>
      </w:pPr>
      <w:r w:rsidRPr="00535EBB">
        <w:rPr>
          <w:rFonts w:ascii="Arial" w:hAnsi="Arial" w:cs="Arial"/>
        </w:rPr>
        <w:t>The husband is the owner of a business, and the parties agreed it was a marital asset.</w:t>
      </w:r>
    </w:p>
    <w:p w14:paraId="5729E3BA" w14:textId="73424AC6" w:rsidR="001D4305" w:rsidRPr="00535EBB" w:rsidRDefault="001D4305" w:rsidP="00B322BF">
      <w:pPr>
        <w:pStyle w:val="ListParagraph"/>
        <w:numPr>
          <w:ilvl w:val="1"/>
          <w:numId w:val="8"/>
        </w:numPr>
        <w:jc w:val="both"/>
        <w:rPr>
          <w:rFonts w:ascii="Arial" w:hAnsi="Arial" w:cs="Arial"/>
        </w:rPr>
      </w:pPr>
      <w:r w:rsidRPr="00535EBB">
        <w:rPr>
          <w:rFonts w:ascii="Arial" w:hAnsi="Arial" w:cs="Arial"/>
        </w:rPr>
        <w:t>Both parties presented expert</w:t>
      </w:r>
      <w:r w:rsidR="007562CA" w:rsidRPr="00535EBB">
        <w:rPr>
          <w:rFonts w:ascii="Arial" w:hAnsi="Arial" w:cs="Arial"/>
        </w:rPr>
        <w:t xml:space="preserve">s who testified regarding the valuation of the business. </w:t>
      </w:r>
      <w:r w:rsidR="007562CA" w:rsidRPr="00535EBB">
        <w:rPr>
          <w:rFonts w:ascii="Arial" w:hAnsi="Arial" w:cs="Arial"/>
          <w:b/>
          <w:bCs/>
        </w:rPr>
        <w:t xml:space="preserve">The wife’s expert </w:t>
      </w:r>
      <w:r w:rsidR="00CF3EB6" w:rsidRPr="00535EBB">
        <w:rPr>
          <w:rFonts w:ascii="Arial" w:hAnsi="Arial" w:cs="Arial"/>
          <w:b/>
          <w:bCs/>
        </w:rPr>
        <w:t xml:space="preserve">testified </w:t>
      </w:r>
      <w:r w:rsidR="00656DA4" w:rsidRPr="00535EBB">
        <w:rPr>
          <w:rFonts w:ascii="Arial" w:hAnsi="Arial" w:cs="Arial"/>
          <w:b/>
          <w:bCs/>
        </w:rPr>
        <w:t xml:space="preserve">that </w:t>
      </w:r>
      <w:r w:rsidR="00CF3EB6" w:rsidRPr="00535EBB">
        <w:rPr>
          <w:rFonts w:ascii="Arial" w:hAnsi="Arial" w:cs="Arial"/>
          <w:b/>
          <w:bCs/>
        </w:rPr>
        <w:t xml:space="preserve">the fair market value of the business was $840,000, while the father’s expert testified </w:t>
      </w:r>
      <w:r w:rsidR="00656DA4" w:rsidRPr="00535EBB">
        <w:rPr>
          <w:rFonts w:ascii="Arial" w:hAnsi="Arial" w:cs="Arial"/>
          <w:b/>
          <w:bCs/>
        </w:rPr>
        <w:t xml:space="preserve">that </w:t>
      </w:r>
      <w:r w:rsidR="00CF3EB6" w:rsidRPr="00535EBB">
        <w:rPr>
          <w:rFonts w:ascii="Arial" w:hAnsi="Arial" w:cs="Arial"/>
          <w:b/>
          <w:bCs/>
        </w:rPr>
        <w:t>the value was</w:t>
      </w:r>
      <w:r w:rsidR="00C16425" w:rsidRPr="00535EBB">
        <w:rPr>
          <w:rFonts w:ascii="Arial" w:hAnsi="Arial" w:cs="Arial"/>
          <w:b/>
          <w:bCs/>
        </w:rPr>
        <w:t xml:space="preserve"> around </w:t>
      </w:r>
      <w:r w:rsidR="00C16425" w:rsidRPr="00535EBB">
        <w:rPr>
          <w:rFonts w:ascii="Arial" w:hAnsi="Arial" w:cs="Arial"/>
          <w:b/>
          <w:bCs/>
        </w:rPr>
        <w:lastRenderedPageBreak/>
        <w:t>$290,000.</w:t>
      </w:r>
      <w:r w:rsidR="00656DA4" w:rsidRPr="00535EBB">
        <w:rPr>
          <w:rFonts w:ascii="Arial" w:hAnsi="Arial" w:cs="Arial"/>
        </w:rPr>
        <w:t xml:space="preserve"> Both experts </w:t>
      </w:r>
      <w:r w:rsidR="00530A24" w:rsidRPr="00535EBB">
        <w:rPr>
          <w:rFonts w:ascii="Arial" w:hAnsi="Arial" w:cs="Arial"/>
        </w:rPr>
        <w:t xml:space="preserve">used similar methods to reach their conclusions, and both applied a discount to their </w:t>
      </w:r>
      <w:r w:rsidR="0068089D" w:rsidRPr="00535EBB">
        <w:rPr>
          <w:rFonts w:ascii="Arial" w:hAnsi="Arial" w:cs="Arial"/>
        </w:rPr>
        <w:t>valuations</w:t>
      </w:r>
      <w:r w:rsidR="00530A24" w:rsidRPr="00535EBB">
        <w:rPr>
          <w:rFonts w:ascii="Arial" w:hAnsi="Arial" w:cs="Arial"/>
        </w:rPr>
        <w:t xml:space="preserve">. </w:t>
      </w:r>
    </w:p>
    <w:p w14:paraId="0E96755E" w14:textId="24D296E1" w:rsidR="00530A24" w:rsidRPr="00535EBB" w:rsidRDefault="00530A24" w:rsidP="00B322BF">
      <w:pPr>
        <w:pStyle w:val="ListParagraph"/>
        <w:numPr>
          <w:ilvl w:val="1"/>
          <w:numId w:val="8"/>
        </w:numPr>
        <w:jc w:val="both"/>
        <w:rPr>
          <w:rFonts w:ascii="Arial" w:hAnsi="Arial" w:cs="Arial"/>
          <w:b/>
          <w:bCs/>
        </w:rPr>
      </w:pPr>
      <w:r w:rsidRPr="00535EBB">
        <w:rPr>
          <w:rFonts w:ascii="Arial" w:hAnsi="Arial" w:cs="Arial"/>
          <w:b/>
          <w:bCs/>
        </w:rPr>
        <w:t xml:space="preserve">The magistrate determined the </w:t>
      </w:r>
      <w:r w:rsidR="008223B4" w:rsidRPr="00535EBB">
        <w:rPr>
          <w:rFonts w:ascii="Arial" w:hAnsi="Arial" w:cs="Arial"/>
          <w:b/>
          <w:bCs/>
        </w:rPr>
        <w:t xml:space="preserve">husband’s expert provided a more accurate valuation and rejected the wife’s expert. </w:t>
      </w:r>
    </w:p>
    <w:p w14:paraId="6EB59BB4" w14:textId="75F9E37E" w:rsidR="00C16425" w:rsidRPr="00535EBB" w:rsidRDefault="00C16425" w:rsidP="00C16425">
      <w:pPr>
        <w:pStyle w:val="ListParagraph"/>
        <w:numPr>
          <w:ilvl w:val="2"/>
          <w:numId w:val="8"/>
        </w:numPr>
        <w:jc w:val="both"/>
        <w:rPr>
          <w:rFonts w:ascii="Arial" w:hAnsi="Arial" w:cs="Arial"/>
        </w:rPr>
      </w:pPr>
      <w:r w:rsidRPr="00535EBB">
        <w:rPr>
          <w:rFonts w:ascii="Arial" w:hAnsi="Arial" w:cs="Arial"/>
        </w:rPr>
        <w:t xml:space="preserve">The wife appealed, arguing that the trial court erred in </w:t>
      </w:r>
      <w:r w:rsidR="007236F3" w:rsidRPr="00535EBB">
        <w:rPr>
          <w:rFonts w:ascii="Arial" w:hAnsi="Arial" w:cs="Arial"/>
        </w:rPr>
        <w:t xml:space="preserve">determining the valuation of the </w:t>
      </w:r>
      <w:proofErr w:type="gramStart"/>
      <w:r w:rsidR="007236F3" w:rsidRPr="00535EBB">
        <w:rPr>
          <w:rFonts w:ascii="Arial" w:hAnsi="Arial" w:cs="Arial"/>
        </w:rPr>
        <w:t>parties’</w:t>
      </w:r>
      <w:proofErr w:type="gramEnd"/>
      <w:r w:rsidR="007236F3" w:rsidRPr="00535EBB">
        <w:rPr>
          <w:rFonts w:ascii="Arial" w:hAnsi="Arial" w:cs="Arial"/>
        </w:rPr>
        <w:t xml:space="preserve"> business </w:t>
      </w:r>
      <w:r w:rsidR="005C5FAB" w:rsidRPr="00535EBB">
        <w:rPr>
          <w:rFonts w:ascii="Arial" w:hAnsi="Arial" w:cs="Arial"/>
        </w:rPr>
        <w:t>when it rejected her expert and found the husband’s expert credible.</w:t>
      </w:r>
    </w:p>
    <w:p w14:paraId="2BC953BA" w14:textId="39A6CDBD" w:rsidR="00844B50" w:rsidRPr="00535EBB" w:rsidRDefault="00844B50" w:rsidP="00C16425">
      <w:pPr>
        <w:pStyle w:val="ListParagraph"/>
        <w:numPr>
          <w:ilvl w:val="2"/>
          <w:numId w:val="8"/>
        </w:numPr>
        <w:jc w:val="both"/>
        <w:rPr>
          <w:rFonts w:ascii="Arial" w:hAnsi="Arial" w:cs="Arial"/>
        </w:rPr>
      </w:pPr>
      <w:r w:rsidRPr="00535EBB">
        <w:rPr>
          <w:rFonts w:ascii="Arial" w:hAnsi="Arial" w:cs="Arial"/>
        </w:rPr>
        <w:t xml:space="preserve">The wife </w:t>
      </w:r>
      <w:r w:rsidR="003044BE" w:rsidRPr="00535EBB">
        <w:rPr>
          <w:rFonts w:ascii="Arial" w:hAnsi="Arial" w:cs="Arial"/>
        </w:rPr>
        <w:t>asserted that the husband’s expert admitted that it could not be evaluated by its book value</w:t>
      </w:r>
      <w:r w:rsidR="00F618CA" w:rsidRPr="00535EBB">
        <w:rPr>
          <w:rFonts w:ascii="Arial" w:hAnsi="Arial" w:cs="Arial"/>
        </w:rPr>
        <w:t xml:space="preserve"> and used outdated outside sources</w:t>
      </w:r>
      <w:r w:rsidR="00276399" w:rsidRPr="00535EBB">
        <w:rPr>
          <w:rFonts w:ascii="Arial" w:hAnsi="Arial" w:cs="Arial"/>
        </w:rPr>
        <w:t xml:space="preserve">. The husband’s expert </w:t>
      </w:r>
      <w:r w:rsidR="00D13C05" w:rsidRPr="00535EBB">
        <w:rPr>
          <w:rFonts w:ascii="Arial" w:hAnsi="Arial" w:cs="Arial"/>
        </w:rPr>
        <w:t>was also</w:t>
      </w:r>
      <w:r w:rsidR="008347F6" w:rsidRPr="00535EBB">
        <w:rPr>
          <w:rFonts w:ascii="Arial" w:hAnsi="Arial" w:cs="Arial"/>
        </w:rPr>
        <w:t xml:space="preserve"> not aware that the husband </w:t>
      </w:r>
      <w:r w:rsidR="00D13C05" w:rsidRPr="00535EBB">
        <w:rPr>
          <w:rFonts w:ascii="Arial" w:hAnsi="Arial" w:cs="Arial"/>
        </w:rPr>
        <w:t>used the business credit card for personal expenses and withdrew large amounts of money from the business account.</w:t>
      </w:r>
    </w:p>
    <w:p w14:paraId="2B170AA8" w14:textId="13EB4645" w:rsidR="005C5FAB" w:rsidRPr="00535EBB" w:rsidRDefault="005C5FAB" w:rsidP="005C5FAB">
      <w:pPr>
        <w:pStyle w:val="ListParagraph"/>
        <w:numPr>
          <w:ilvl w:val="1"/>
          <w:numId w:val="8"/>
        </w:numPr>
        <w:jc w:val="both"/>
        <w:rPr>
          <w:rFonts w:ascii="Arial" w:hAnsi="Arial" w:cs="Arial"/>
        </w:rPr>
      </w:pPr>
      <w:r w:rsidRPr="00535EBB">
        <w:rPr>
          <w:rFonts w:ascii="Arial" w:hAnsi="Arial" w:cs="Arial"/>
        </w:rPr>
        <w:t>Law</w:t>
      </w:r>
    </w:p>
    <w:p w14:paraId="133A526C" w14:textId="5A37163C" w:rsidR="005C5FAB" w:rsidRPr="00535EBB" w:rsidRDefault="00C16C65" w:rsidP="005C5FAB">
      <w:pPr>
        <w:pStyle w:val="ListParagraph"/>
        <w:numPr>
          <w:ilvl w:val="2"/>
          <w:numId w:val="8"/>
        </w:numPr>
        <w:jc w:val="both"/>
        <w:rPr>
          <w:rFonts w:ascii="Arial" w:hAnsi="Arial" w:cs="Arial"/>
        </w:rPr>
      </w:pPr>
      <w:r w:rsidRPr="00535EBB">
        <w:rPr>
          <w:rFonts w:ascii="Arial" w:hAnsi="Arial" w:cs="Arial"/>
        </w:rPr>
        <w:t xml:space="preserve">“A trial court’s decision regarding the admission of expert testimony is afforded broad discretion and thus, will not be disturbed absent an abuse of discretion.” </w:t>
      </w:r>
    </w:p>
    <w:p w14:paraId="1C374BF9" w14:textId="777C8528" w:rsidR="00C16C65" w:rsidRPr="00535EBB" w:rsidRDefault="00DD341A" w:rsidP="005C5FAB">
      <w:pPr>
        <w:pStyle w:val="ListParagraph"/>
        <w:numPr>
          <w:ilvl w:val="2"/>
          <w:numId w:val="8"/>
        </w:numPr>
        <w:jc w:val="both"/>
        <w:rPr>
          <w:rFonts w:ascii="Arial" w:hAnsi="Arial" w:cs="Arial"/>
        </w:rPr>
      </w:pPr>
      <w:r w:rsidRPr="00535EBB">
        <w:rPr>
          <w:rFonts w:ascii="Arial" w:hAnsi="Arial" w:cs="Arial"/>
        </w:rPr>
        <w:t xml:space="preserve">On appeal, since a decision regarding a business valuation involves factual inquiries, the court will apply a manifest weight of the evidence standard </w:t>
      </w:r>
      <w:r w:rsidRPr="00535EBB">
        <w:rPr>
          <w:rFonts w:ascii="Arial" w:hAnsi="Arial" w:cs="Arial"/>
        </w:rPr>
        <w:lastRenderedPageBreak/>
        <w:t xml:space="preserve">of review. </w:t>
      </w:r>
      <w:r w:rsidR="0052096E" w:rsidRPr="00535EBB">
        <w:rPr>
          <w:rFonts w:ascii="Arial" w:hAnsi="Arial" w:cs="Arial"/>
        </w:rPr>
        <w:t>In other words, “an appellate court will not reverse a trial court’s valuation if it is supported by some competent, credible evidence.”</w:t>
      </w:r>
    </w:p>
    <w:p w14:paraId="396B9711" w14:textId="00BBBF6F" w:rsidR="0052096E" w:rsidRPr="00535EBB" w:rsidRDefault="0052096E" w:rsidP="0052096E">
      <w:pPr>
        <w:pStyle w:val="ListParagraph"/>
        <w:numPr>
          <w:ilvl w:val="1"/>
          <w:numId w:val="8"/>
        </w:numPr>
        <w:jc w:val="both"/>
        <w:rPr>
          <w:rFonts w:ascii="Arial" w:hAnsi="Arial" w:cs="Arial"/>
        </w:rPr>
      </w:pPr>
      <w:r w:rsidRPr="00535EBB">
        <w:rPr>
          <w:rFonts w:ascii="Arial" w:hAnsi="Arial" w:cs="Arial"/>
        </w:rPr>
        <w:t xml:space="preserve">Holding </w:t>
      </w:r>
    </w:p>
    <w:p w14:paraId="5F098CB9" w14:textId="673611C9" w:rsidR="00034DDC" w:rsidRPr="00535EBB" w:rsidRDefault="00BC4F40" w:rsidP="001C7C81">
      <w:pPr>
        <w:pStyle w:val="ListParagraph"/>
        <w:numPr>
          <w:ilvl w:val="2"/>
          <w:numId w:val="8"/>
        </w:numPr>
        <w:jc w:val="both"/>
        <w:rPr>
          <w:rFonts w:ascii="Arial" w:hAnsi="Arial" w:cs="Arial"/>
          <w:b/>
          <w:bCs/>
        </w:rPr>
      </w:pPr>
      <w:r w:rsidRPr="00535EBB">
        <w:rPr>
          <w:rFonts w:ascii="Arial" w:hAnsi="Arial" w:cs="Arial"/>
        </w:rPr>
        <w:t xml:space="preserve">The court agreed with the trial court’s conclusion that </w:t>
      </w:r>
      <w:r w:rsidRPr="00535EBB">
        <w:rPr>
          <w:rFonts w:ascii="Arial" w:hAnsi="Arial" w:cs="Arial"/>
          <w:b/>
          <w:bCs/>
        </w:rPr>
        <w:t>the husband’s expert</w:t>
      </w:r>
      <w:r w:rsidR="00084B67" w:rsidRPr="00535EBB">
        <w:rPr>
          <w:rFonts w:ascii="Arial" w:hAnsi="Arial" w:cs="Arial"/>
          <w:b/>
          <w:bCs/>
        </w:rPr>
        <w:t xml:space="preserve"> valuation was more reasonable and credible. </w:t>
      </w:r>
      <w:r w:rsidR="00034DDC" w:rsidRPr="00535EBB">
        <w:rPr>
          <w:rFonts w:ascii="Arial" w:hAnsi="Arial" w:cs="Arial"/>
          <w:b/>
          <w:bCs/>
        </w:rPr>
        <w:t xml:space="preserve">The court noted that the business </w:t>
      </w:r>
      <w:r w:rsidR="00945B6B" w:rsidRPr="00535EBB">
        <w:rPr>
          <w:rFonts w:ascii="Arial" w:hAnsi="Arial" w:cs="Arial"/>
          <w:b/>
          <w:bCs/>
        </w:rPr>
        <w:t>is</w:t>
      </w:r>
      <w:r w:rsidR="00034DDC" w:rsidRPr="00535EBB">
        <w:rPr>
          <w:rFonts w:ascii="Arial" w:hAnsi="Arial" w:cs="Arial"/>
          <w:b/>
          <w:bCs/>
        </w:rPr>
        <w:t xml:space="preserve"> </w:t>
      </w:r>
      <w:proofErr w:type="gramStart"/>
      <w:r w:rsidR="00034DDC" w:rsidRPr="00535EBB">
        <w:rPr>
          <w:rFonts w:ascii="Arial" w:hAnsi="Arial" w:cs="Arial"/>
          <w:b/>
          <w:bCs/>
        </w:rPr>
        <w:t>fairly new</w:t>
      </w:r>
      <w:proofErr w:type="gramEnd"/>
      <w:r w:rsidR="001C7C81" w:rsidRPr="00535EBB">
        <w:rPr>
          <w:rFonts w:ascii="Arial" w:hAnsi="Arial" w:cs="Arial"/>
          <w:b/>
          <w:bCs/>
        </w:rPr>
        <w:t>,</w:t>
      </w:r>
      <w:r w:rsidR="00034DDC" w:rsidRPr="00535EBB">
        <w:rPr>
          <w:rFonts w:ascii="Arial" w:hAnsi="Arial" w:cs="Arial"/>
          <w:b/>
          <w:bCs/>
        </w:rPr>
        <w:t xml:space="preserve"> with limited records</w:t>
      </w:r>
      <w:r w:rsidR="001C7C81" w:rsidRPr="00535EBB">
        <w:rPr>
          <w:rFonts w:ascii="Arial" w:hAnsi="Arial" w:cs="Arial"/>
          <w:b/>
          <w:bCs/>
        </w:rPr>
        <w:t xml:space="preserve">, </w:t>
      </w:r>
      <w:r w:rsidR="00945B6B" w:rsidRPr="00535EBB">
        <w:rPr>
          <w:rFonts w:ascii="Arial" w:hAnsi="Arial" w:cs="Arial"/>
          <w:b/>
          <w:bCs/>
        </w:rPr>
        <w:t>is</w:t>
      </w:r>
      <w:r w:rsidR="00034DDC" w:rsidRPr="00535EBB">
        <w:rPr>
          <w:rFonts w:ascii="Arial" w:hAnsi="Arial" w:cs="Arial"/>
          <w:b/>
          <w:bCs/>
        </w:rPr>
        <w:t xml:space="preserve"> family-run, </w:t>
      </w:r>
      <w:r w:rsidR="001C7C81" w:rsidRPr="00535EBB">
        <w:rPr>
          <w:rFonts w:ascii="Arial" w:hAnsi="Arial" w:cs="Arial"/>
          <w:b/>
          <w:bCs/>
        </w:rPr>
        <w:t>and</w:t>
      </w:r>
      <w:r w:rsidR="00034DDC" w:rsidRPr="00535EBB">
        <w:rPr>
          <w:rFonts w:ascii="Arial" w:hAnsi="Arial" w:cs="Arial"/>
          <w:b/>
          <w:bCs/>
        </w:rPr>
        <w:t xml:space="preserve"> </w:t>
      </w:r>
      <w:r w:rsidR="00945B6B" w:rsidRPr="00535EBB">
        <w:rPr>
          <w:rFonts w:ascii="Arial" w:hAnsi="Arial" w:cs="Arial"/>
          <w:b/>
          <w:bCs/>
        </w:rPr>
        <w:t>offers</w:t>
      </w:r>
      <w:r w:rsidR="00034DDC" w:rsidRPr="00535EBB">
        <w:rPr>
          <w:rFonts w:ascii="Arial" w:hAnsi="Arial" w:cs="Arial"/>
          <w:b/>
          <w:bCs/>
        </w:rPr>
        <w:t xml:space="preserve"> a niche service</w:t>
      </w:r>
      <w:r w:rsidR="001C7C81" w:rsidRPr="00535EBB">
        <w:rPr>
          <w:rFonts w:ascii="Arial" w:hAnsi="Arial" w:cs="Arial"/>
          <w:b/>
          <w:bCs/>
        </w:rPr>
        <w:t>, making valuation difficult.</w:t>
      </w:r>
    </w:p>
    <w:p w14:paraId="669564BE" w14:textId="77777777" w:rsidR="00945B6B" w:rsidRPr="00535EBB" w:rsidRDefault="003920C5" w:rsidP="003920C5">
      <w:pPr>
        <w:pStyle w:val="ListParagraph"/>
        <w:numPr>
          <w:ilvl w:val="2"/>
          <w:numId w:val="8"/>
        </w:numPr>
        <w:jc w:val="both"/>
        <w:rPr>
          <w:rFonts w:ascii="Arial" w:hAnsi="Arial" w:cs="Arial"/>
        </w:rPr>
      </w:pPr>
      <w:r w:rsidRPr="00535EBB">
        <w:rPr>
          <w:rFonts w:ascii="Arial" w:hAnsi="Arial" w:cs="Arial"/>
        </w:rPr>
        <w:t xml:space="preserve">The court </w:t>
      </w:r>
      <w:r w:rsidR="00945B6B" w:rsidRPr="00535EBB">
        <w:rPr>
          <w:rFonts w:ascii="Arial" w:hAnsi="Arial" w:cs="Arial"/>
        </w:rPr>
        <w:t xml:space="preserve">also </w:t>
      </w:r>
      <w:r w:rsidRPr="00535EBB">
        <w:rPr>
          <w:rFonts w:ascii="Arial" w:hAnsi="Arial" w:cs="Arial"/>
        </w:rPr>
        <w:t xml:space="preserve">noted that both experts testified as to the strengths and limitations of their reports, </w:t>
      </w:r>
      <w:r w:rsidR="00613C23" w:rsidRPr="00535EBB">
        <w:rPr>
          <w:rFonts w:ascii="Arial" w:hAnsi="Arial" w:cs="Arial"/>
        </w:rPr>
        <w:t xml:space="preserve">and the trial court was aware of the limitations of the husband’s expert that </w:t>
      </w:r>
      <w:r w:rsidR="00530E35" w:rsidRPr="00535EBB">
        <w:rPr>
          <w:rFonts w:ascii="Arial" w:hAnsi="Arial" w:cs="Arial"/>
        </w:rPr>
        <w:t>were</w:t>
      </w:r>
      <w:r w:rsidR="00613C23" w:rsidRPr="00535EBB">
        <w:rPr>
          <w:rFonts w:ascii="Arial" w:hAnsi="Arial" w:cs="Arial"/>
        </w:rPr>
        <w:t xml:space="preserve"> raised by the wife.</w:t>
      </w:r>
      <w:r w:rsidRPr="00535EBB">
        <w:rPr>
          <w:rFonts w:ascii="Arial" w:hAnsi="Arial" w:cs="Arial"/>
        </w:rPr>
        <w:t xml:space="preserve"> </w:t>
      </w:r>
    </w:p>
    <w:p w14:paraId="0BFB8ADA" w14:textId="7C912743" w:rsidR="003920C5" w:rsidRPr="00535EBB" w:rsidRDefault="00945B6B" w:rsidP="003920C5">
      <w:pPr>
        <w:pStyle w:val="ListParagraph"/>
        <w:numPr>
          <w:ilvl w:val="2"/>
          <w:numId w:val="8"/>
        </w:numPr>
        <w:jc w:val="both"/>
        <w:rPr>
          <w:rFonts w:ascii="Arial" w:hAnsi="Arial" w:cs="Arial"/>
        </w:rPr>
      </w:pPr>
      <w:r w:rsidRPr="00535EBB">
        <w:rPr>
          <w:rFonts w:ascii="Arial" w:hAnsi="Arial" w:cs="Arial"/>
        </w:rPr>
        <w:t>Based on</w:t>
      </w:r>
      <w:r w:rsidR="00D721F9" w:rsidRPr="00535EBB">
        <w:rPr>
          <w:rFonts w:ascii="Arial" w:hAnsi="Arial" w:cs="Arial"/>
        </w:rPr>
        <w:t xml:space="preserve"> the character of the parties’ business</w:t>
      </w:r>
      <w:r w:rsidRPr="00535EBB">
        <w:rPr>
          <w:rFonts w:ascii="Arial" w:hAnsi="Arial" w:cs="Arial"/>
        </w:rPr>
        <w:t xml:space="preserve">, the trial court was entitled </w:t>
      </w:r>
      <w:r w:rsidR="00D721F9" w:rsidRPr="00535EBB">
        <w:rPr>
          <w:rFonts w:ascii="Arial" w:hAnsi="Arial" w:cs="Arial"/>
        </w:rPr>
        <w:t xml:space="preserve">to accept the husband’s </w:t>
      </w:r>
      <w:r w:rsidR="001C6E02" w:rsidRPr="00535EBB">
        <w:rPr>
          <w:rFonts w:ascii="Arial" w:hAnsi="Arial" w:cs="Arial"/>
        </w:rPr>
        <w:t xml:space="preserve">expert </w:t>
      </w:r>
      <w:r w:rsidR="00D721F9" w:rsidRPr="00535EBB">
        <w:rPr>
          <w:rFonts w:ascii="Arial" w:hAnsi="Arial" w:cs="Arial"/>
        </w:rPr>
        <w:t>opinion as to the valuation over the wif</w:t>
      </w:r>
      <w:r w:rsidR="001C6E02" w:rsidRPr="00535EBB">
        <w:rPr>
          <w:rFonts w:ascii="Arial" w:hAnsi="Arial" w:cs="Arial"/>
        </w:rPr>
        <w:t xml:space="preserve">e’s expert opinion. In addition, the husband’s expert set for “competent, credible evidence from which the </w:t>
      </w:r>
      <w:r w:rsidR="00991DF8" w:rsidRPr="00535EBB">
        <w:rPr>
          <w:rFonts w:ascii="Arial" w:hAnsi="Arial" w:cs="Arial"/>
        </w:rPr>
        <w:t xml:space="preserve">trial court could determine that [the husband’s expert’s] computations were closer to the exact value” of the business. </w:t>
      </w:r>
    </w:p>
    <w:p w14:paraId="40535FED" w14:textId="77777777" w:rsidR="000F190C" w:rsidRPr="00535EBB" w:rsidRDefault="000F190C" w:rsidP="000F190C">
      <w:pPr>
        <w:pStyle w:val="ListParagraph"/>
        <w:ind w:left="2160"/>
        <w:jc w:val="both"/>
        <w:rPr>
          <w:rFonts w:ascii="Arial" w:hAnsi="Arial" w:cs="Arial"/>
        </w:rPr>
      </w:pPr>
    </w:p>
    <w:p w14:paraId="15FBAD76" w14:textId="77777777" w:rsidR="000F190C" w:rsidRPr="00535EBB" w:rsidRDefault="000F190C" w:rsidP="000F190C">
      <w:pPr>
        <w:pStyle w:val="ListParagraph"/>
        <w:ind w:left="2160"/>
        <w:jc w:val="both"/>
        <w:rPr>
          <w:rFonts w:ascii="Arial" w:hAnsi="Arial" w:cs="Arial"/>
        </w:rPr>
      </w:pPr>
    </w:p>
    <w:p w14:paraId="4DC77529" w14:textId="77777777" w:rsidR="00637A36" w:rsidRPr="00535EBB" w:rsidRDefault="00637A36" w:rsidP="000223F6">
      <w:pPr>
        <w:jc w:val="both"/>
        <w:rPr>
          <w:rFonts w:ascii="Arial" w:hAnsi="Arial" w:cs="Arial"/>
        </w:rPr>
      </w:pPr>
    </w:p>
    <w:p w14:paraId="50F4A67C" w14:textId="0FBDD9CE" w:rsidR="00D4513C" w:rsidRPr="00535EBB" w:rsidRDefault="00D4513C" w:rsidP="002601E2">
      <w:pPr>
        <w:pStyle w:val="Heading1"/>
      </w:pPr>
      <w:bookmarkStart w:id="1" w:name="_Toc210808980"/>
      <w:r w:rsidRPr="00535EBB">
        <w:t>Appraisals</w:t>
      </w:r>
      <w:bookmarkEnd w:id="1"/>
      <w:r w:rsidRPr="00535EBB">
        <w:t xml:space="preserve"> </w:t>
      </w:r>
    </w:p>
    <w:p w14:paraId="298F16C2" w14:textId="2F143665" w:rsidR="00D4513C" w:rsidRPr="00535EBB" w:rsidRDefault="00DE4831" w:rsidP="00C92B12">
      <w:pPr>
        <w:jc w:val="both"/>
        <w:rPr>
          <w:rFonts w:ascii="Arial" w:hAnsi="Arial" w:cs="Arial"/>
        </w:rPr>
      </w:pPr>
      <w:r w:rsidRPr="00535EBB">
        <w:rPr>
          <w:rFonts w:ascii="Arial" w:hAnsi="Arial" w:cs="Arial"/>
          <w:b/>
          <w:bCs/>
          <w:i/>
          <w:iCs/>
        </w:rPr>
        <w:lastRenderedPageBreak/>
        <w:t>Vacheresse v. Paulchel</w:t>
      </w:r>
      <w:r w:rsidRPr="00535EBB">
        <w:rPr>
          <w:rFonts w:ascii="Arial" w:hAnsi="Arial" w:cs="Arial"/>
          <w:b/>
          <w:bCs/>
        </w:rPr>
        <w:t xml:space="preserve">, 2023-Ohio-3226 (10th Dist.). </w:t>
      </w:r>
      <w:r w:rsidRPr="00535EBB">
        <w:rPr>
          <w:rFonts w:ascii="Arial" w:hAnsi="Arial" w:cs="Arial"/>
        </w:rPr>
        <w:t xml:space="preserve">– </w:t>
      </w:r>
      <w:r w:rsidR="00C92B12" w:rsidRPr="00535EBB">
        <w:rPr>
          <w:rFonts w:ascii="Arial" w:hAnsi="Arial" w:cs="Arial"/>
        </w:rPr>
        <w:t>The trial court was proper in relying on the husband’s appraisal report of the marital home</w:t>
      </w:r>
      <w:r w:rsidR="00DF3088" w:rsidRPr="00535EBB">
        <w:rPr>
          <w:rFonts w:ascii="Arial" w:hAnsi="Arial" w:cs="Arial"/>
        </w:rPr>
        <w:t xml:space="preserve"> since the wife offered no competing expert evidence</w:t>
      </w:r>
      <w:r w:rsidR="00CE35E0" w:rsidRPr="00535EBB">
        <w:rPr>
          <w:rFonts w:ascii="Arial" w:hAnsi="Arial" w:cs="Arial"/>
        </w:rPr>
        <w:t xml:space="preserve"> and did</w:t>
      </w:r>
      <w:r w:rsidR="00DF3088" w:rsidRPr="00535EBB">
        <w:rPr>
          <w:rFonts w:ascii="Arial" w:hAnsi="Arial" w:cs="Arial"/>
        </w:rPr>
        <w:t xml:space="preserve"> not </w:t>
      </w:r>
      <w:r w:rsidR="00CE35E0" w:rsidRPr="00535EBB">
        <w:rPr>
          <w:rFonts w:ascii="Arial" w:hAnsi="Arial" w:cs="Arial"/>
        </w:rPr>
        <w:t>object</w:t>
      </w:r>
      <w:r w:rsidR="00DF3088" w:rsidRPr="00535EBB">
        <w:rPr>
          <w:rFonts w:ascii="Arial" w:hAnsi="Arial" w:cs="Arial"/>
        </w:rPr>
        <w:t xml:space="preserve"> to the report.</w:t>
      </w:r>
      <w:r w:rsidR="00DD4867" w:rsidRPr="00535EBB">
        <w:rPr>
          <w:rFonts w:ascii="Arial" w:hAnsi="Arial" w:cs="Arial"/>
        </w:rPr>
        <w:t xml:space="preserve"> </w:t>
      </w:r>
      <w:r w:rsidR="00430022" w:rsidRPr="00535EBB">
        <w:rPr>
          <w:rFonts w:ascii="Arial" w:hAnsi="Arial" w:cs="Arial"/>
        </w:rPr>
        <w:t>Also, the</w:t>
      </w:r>
      <w:r w:rsidR="00DD4867" w:rsidRPr="00535EBB">
        <w:rPr>
          <w:rFonts w:ascii="Arial" w:hAnsi="Arial" w:cs="Arial"/>
        </w:rPr>
        <w:t xml:space="preserve"> appraiser’s credentials were not in dispute</w:t>
      </w:r>
      <w:r w:rsidR="00CE35E0" w:rsidRPr="00535EBB">
        <w:rPr>
          <w:rFonts w:ascii="Arial" w:hAnsi="Arial" w:cs="Arial"/>
        </w:rPr>
        <w:t xml:space="preserve">. </w:t>
      </w:r>
    </w:p>
    <w:p w14:paraId="723937C5" w14:textId="69FDD8A8" w:rsidR="0041071B" w:rsidRPr="00535EBB" w:rsidRDefault="00DA7725" w:rsidP="00C92B12">
      <w:pPr>
        <w:pStyle w:val="ListParagraph"/>
        <w:numPr>
          <w:ilvl w:val="0"/>
          <w:numId w:val="4"/>
        </w:numPr>
        <w:jc w:val="both"/>
        <w:rPr>
          <w:rFonts w:ascii="Arial" w:hAnsi="Arial" w:cs="Arial"/>
        </w:rPr>
      </w:pPr>
      <w:r w:rsidRPr="00535EBB">
        <w:rPr>
          <w:rFonts w:ascii="Arial" w:hAnsi="Arial" w:cs="Arial"/>
        </w:rPr>
        <w:t xml:space="preserve">Facts  </w:t>
      </w:r>
    </w:p>
    <w:p w14:paraId="6B0CC49B" w14:textId="3C50B141" w:rsidR="00DA7725" w:rsidRPr="00535EBB" w:rsidRDefault="00B01E01" w:rsidP="00C92B12">
      <w:pPr>
        <w:pStyle w:val="ListParagraph"/>
        <w:numPr>
          <w:ilvl w:val="1"/>
          <w:numId w:val="4"/>
        </w:numPr>
        <w:jc w:val="both"/>
        <w:rPr>
          <w:rFonts w:ascii="Arial" w:hAnsi="Arial" w:cs="Arial"/>
        </w:rPr>
      </w:pPr>
      <w:r w:rsidRPr="00535EBB">
        <w:rPr>
          <w:rFonts w:ascii="Arial" w:hAnsi="Arial" w:cs="Arial"/>
        </w:rPr>
        <w:t>The husband and wife disagreed on the valuation of the marital residence.</w:t>
      </w:r>
    </w:p>
    <w:p w14:paraId="49A2895D" w14:textId="18482277" w:rsidR="00B01E01" w:rsidRPr="00535EBB" w:rsidRDefault="00B01E01" w:rsidP="00C92B12">
      <w:pPr>
        <w:pStyle w:val="ListParagraph"/>
        <w:numPr>
          <w:ilvl w:val="1"/>
          <w:numId w:val="4"/>
        </w:numPr>
        <w:jc w:val="both"/>
        <w:rPr>
          <w:rFonts w:ascii="Arial" w:hAnsi="Arial" w:cs="Arial"/>
        </w:rPr>
      </w:pPr>
      <w:r w:rsidRPr="00535EBB">
        <w:rPr>
          <w:rFonts w:ascii="Arial" w:hAnsi="Arial" w:cs="Arial"/>
        </w:rPr>
        <w:t xml:space="preserve">The </w:t>
      </w:r>
      <w:r w:rsidRPr="00535EBB">
        <w:rPr>
          <w:rFonts w:ascii="Arial" w:hAnsi="Arial" w:cs="Arial"/>
          <w:b/>
          <w:bCs/>
        </w:rPr>
        <w:t xml:space="preserve">husband </w:t>
      </w:r>
      <w:r w:rsidR="00E54010" w:rsidRPr="00535EBB">
        <w:rPr>
          <w:rFonts w:ascii="Arial" w:hAnsi="Arial" w:cs="Arial"/>
          <w:b/>
          <w:bCs/>
        </w:rPr>
        <w:t xml:space="preserve">presented an appraisal report </w:t>
      </w:r>
      <w:r w:rsidR="00C84DF7" w:rsidRPr="00535EBB">
        <w:rPr>
          <w:rFonts w:ascii="Arial" w:hAnsi="Arial" w:cs="Arial"/>
          <w:b/>
          <w:bCs/>
        </w:rPr>
        <w:t>from an appraiser selected by the wife’s counsel</w:t>
      </w:r>
      <w:r w:rsidR="00C84DF7" w:rsidRPr="00535EBB">
        <w:rPr>
          <w:rFonts w:ascii="Arial" w:hAnsi="Arial" w:cs="Arial"/>
        </w:rPr>
        <w:t>. The appraiser did not testify, but his report was admitted into evidence</w:t>
      </w:r>
      <w:r w:rsidR="001D2DEF" w:rsidRPr="00535EBB">
        <w:rPr>
          <w:rFonts w:ascii="Arial" w:hAnsi="Arial" w:cs="Arial"/>
        </w:rPr>
        <w:t xml:space="preserve"> without objection.</w:t>
      </w:r>
    </w:p>
    <w:p w14:paraId="4843DD2B" w14:textId="3A295E01" w:rsidR="00B01E01" w:rsidRPr="00535EBB" w:rsidRDefault="00B01E01" w:rsidP="00C92B12">
      <w:pPr>
        <w:pStyle w:val="ListParagraph"/>
        <w:numPr>
          <w:ilvl w:val="1"/>
          <w:numId w:val="4"/>
        </w:numPr>
        <w:jc w:val="both"/>
        <w:rPr>
          <w:rFonts w:ascii="Arial" w:hAnsi="Arial" w:cs="Arial"/>
        </w:rPr>
      </w:pPr>
      <w:r w:rsidRPr="00535EBB">
        <w:rPr>
          <w:rFonts w:ascii="Arial" w:hAnsi="Arial" w:cs="Arial"/>
        </w:rPr>
        <w:t xml:space="preserve">The wife did not </w:t>
      </w:r>
      <w:r w:rsidR="009E3386" w:rsidRPr="00535EBB">
        <w:rPr>
          <w:rFonts w:ascii="Arial" w:hAnsi="Arial" w:cs="Arial"/>
        </w:rPr>
        <w:t>have a realtor’s license, a real estate appraisal certificate</w:t>
      </w:r>
      <w:r w:rsidR="00E54010" w:rsidRPr="00535EBB">
        <w:rPr>
          <w:rFonts w:ascii="Arial" w:hAnsi="Arial" w:cs="Arial"/>
        </w:rPr>
        <w:t xml:space="preserve">, real estate sales experience, or a substantive basis for challenging the qualifications of the appraiser selected by her attorney. </w:t>
      </w:r>
    </w:p>
    <w:p w14:paraId="2AD45E5E" w14:textId="610607AB" w:rsidR="00F55EC0" w:rsidRPr="00535EBB" w:rsidRDefault="00F55EC0" w:rsidP="00C92B12">
      <w:pPr>
        <w:pStyle w:val="ListParagraph"/>
        <w:numPr>
          <w:ilvl w:val="1"/>
          <w:numId w:val="4"/>
        </w:numPr>
        <w:jc w:val="both"/>
        <w:rPr>
          <w:rFonts w:ascii="Arial" w:hAnsi="Arial" w:cs="Arial"/>
          <w:b/>
          <w:bCs/>
        </w:rPr>
      </w:pPr>
      <w:r w:rsidRPr="00535EBB">
        <w:rPr>
          <w:rFonts w:ascii="Arial" w:hAnsi="Arial" w:cs="Arial"/>
          <w:b/>
          <w:bCs/>
        </w:rPr>
        <w:t>The wife argued the trial court erred when it admitted the appraisal report into evidence because the appraiser</w:t>
      </w:r>
      <w:r w:rsidR="00CE4143" w:rsidRPr="00535EBB">
        <w:rPr>
          <w:rFonts w:ascii="Arial" w:hAnsi="Arial" w:cs="Arial"/>
          <w:b/>
          <w:bCs/>
        </w:rPr>
        <w:t xml:space="preserve"> did not appear as a witness to testify and was not subject to cross-examination.</w:t>
      </w:r>
    </w:p>
    <w:p w14:paraId="15CD8B00" w14:textId="3953700F" w:rsidR="006F2AC8" w:rsidRPr="00535EBB" w:rsidRDefault="006F2AC8" w:rsidP="00C92B12">
      <w:pPr>
        <w:pStyle w:val="ListParagraph"/>
        <w:numPr>
          <w:ilvl w:val="0"/>
          <w:numId w:val="4"/>
        </w:numPr>
        <w:jc w:val="both"/>
        <w:rPr>
          <w:rFonts w:ascii="Arial" w:hAnsi="Arial" w:cs="Arial"/>
        </w:rPr>
      </w:pPr>
      <w:r w:rsidRPr="00535EBB">
        <w:rPr>
          <w:rFonts w:ascii="Arial" w:hAnsi="Arial" w:cs="Arial"/>
        </w:rPr>
        <w:t xml:space="preserve">Law </w:t>
      </w:r>
    </w:p>
    <w:p w14:paraId="3C259C21" w14:textId="77777777" w:rsidR="008641FA" w:rsidRPr="00535EBB" w:rsidRDefault="003721CE" w:rsidP="00C92B12">
      <w:pPr>
        <w:pStyle w:val="ListParagraph"/>
        <w:numPr>
          <w:ilvl w:val="1"/>
          <w:numId w:val="4"/>
        </w:numPr>
        <w:jc w:val="both"/>
        <w:rPr>
          <w:rFonts w:ascii="Arial" w:hAnsi="Arial" w:cs="Arial"/>
        </w:rPr>
      </w:pPr>
      <w:r w:rsidRPr="00535EBB">
        <w:rPr>
          <w:rFonts w:ascii="Arial" w:hAnsi="Arial" w:cs="Arial"/>
        </w:rPr>
        <w:t>“</w:t>
      </w:r>
      <w:r w:rsidRPr="00535EBB">
        <w:rPr>
          <w:rFonts w:ascii="Arial" w:hAnsi="Arial" w:cs="Arial"/>
          <w:b/>
          <w:bCs/>
        </w:rPr>
        <w:t>R.C. 3105.171 expresses no specific way for the trial court to determine valuation</w:t>
      </w:r>
      <w:r w:rsidRPr="00535EBB">
        <w:rPr>
          <w:rFonts w:ascii="Arial" w:hAnsi="Arial" w:cs="Arial"/>
        </w:rPr>
        <w:t>.”</w:t>
      </w:r>
      <w:r w:rsidR="00A77A04" w:rsidRPr="00535EBB">
        <w:rPr>
          <w:rFonts w:ascii="Arial" w:hAnsi="Arial" w:cs="Arial"/>
        </w:rPr>
        <w:t xml:space="preserve"> Further, Ohio courts </w:t>
      </w:r>
      <w:r w:rsidR="00FF5D03" w:rsidRPr="00535EBB">
        <w:rPr>
          <w:rFonts w:ascii="Arial" w:hAnsi="Arial" w:cs="Arial"/>
        </w:rPr>
        <w:t>“have not specified that only one method of valuation is appropriate when dividing marital property.</w:t>
      </w:r>
      <w:r w:rsidR="00103005" w:rsidRPr="00535EBB">
        <w:rPr>
          <w:rFonts w:ascii="Arial" w:hAnsi="Arial" w:cs="Arial"/>
        </w:rPr>
        <w:t xml:space="preserve">” Thus, “when determining </w:t>
      </w:r>
      <w:r w:rsidR="00103005" w:rsidRPr="00535EBB">
        <w:rPr>
          <w:rFonts w:ascii="Arial" w:hAnsi="Arial" w:cs="Arial"/>
        </w:rPr>
        <w:lastRenderedPageBreak/>
        <w:t xml:space="preserve">the value of marital assets, a trial court is not confined to the use of a particular valuation </w:t>
      </w:r>
      <w:proofErr w:type="gramStart"/>
      <w:r w:rsidR="00103005" w:rsidRPr="00535EBB">
        <w:rPr>
          <w:rFonts w:ascii="Arial" w:hAnsi="Arial" w:cs="Arial"/>
        </w:rPr>
        <w:t>method</w:t>
      </w:r>
      <w:r w:rsidR="00F06E12" w:rsidRPr="00535EBB">
        <w:rPr>
          <w:rFonts w:ascii="Arial" w:hAnsi="Arial" w:cs="Arial"/>
        </w:rPr>
        <w:t>, [and]</w:t>
      </w:r>
      <w:proofErr w:type="gramEnd"/>
      <w:r w:rsidR="00F06E12" w:rsidRPr="00535EBB">
        <w:rPr>
          <w:rFonts w:ascii="Arial" w:hAnsi="Arial" w:cs="Arial"/>
        </w:rPr>
        <w:t xml:space="preserve"> can make its own determination as to valuation based on the evidence presented.”</w:t>
      </w:r>
    </w:p>
    <w:p w14:paraId="71428BBC" w14:textId="58ED7D64" w:rsidR="00FF5D03" w:rsidRPr="00535EBB" w:rsidRDefault="008641FA" w:rsidP="00C92B12">
      <w:pPr>
        <w:pStyle w:val="ListParagraph"/>
        <w:numPr>
          <w:ilvl w:val="1"/>
          <w:numId w:val="4"/>
        </w:numPr>
        <w:jc w:val="both"/>
        <w:rPr>
          <w:rFonts w:ascii="Arial" w:hAnsi="Arial" w:cs="Arial"/>
        </w:rPr>
      </w:pPr>
      <w:r w:rsidRPr="00535EBB">
        <w:rPr>
          <w:rFonts w:ascii="Arial" w:hAnsi="Arial" w:cs="Arial"/>
          <w:b/>
          <w:bCs/>
        </w:rPr>
        <w:t xml:space="preserve">Though trial courts have broad discretion </w:t>
      </w:r>
      <w:r w:rsidR="00531A1E" w:rsidRPr="00535EBB">
        <w:rPr>
          <w:rFonts w:ascii="Arial" w:hAnsi="Arial" w:cs="Arial"/>
          <w:b/>
          <w:bCs/>
        </w:rPr>
        <w:t xml:space="preserve">in valuing marital assets, </w:t>
      </w:r>
      <w:r w:rsidR="00A078EE" w:rsidRPr="00535EBB">
        <w:rPr>
          <w:rFonts w:ascii="Arial" w:hAnsi="Arial" w:cs="Arial"/>
          <w:b/>
          <w:bCs/>
        </w:rPr>
        <w:t>their</w:t>
      </w:r>
      <w:r w:rsidR="00EB0304" w:rsidRPr="00535EBB">
        <w:rPr>
          <w:rFonts w:ascii="Arial" w:hAnsi="Arial" w:cs="Arial"/>
          <w:b/>
          <w:bCs/>
        </w:rPr>
        <w:t xml:space="preserve"> assignment of value </w:t>
      </w:r>
      <w:r w:rsidR="00BC0C5E" w:rsidRPr="00535EBB">
        <w:rPr>
          <w:rFonts w:ascii="Arial" w:hAnsi="Arial" w:cs="Arial"/>
          <w:b/>
          <w:bCs/>
        </w:rPr>
        <w:t xml:space="preserve">must be based on credible </w:t>
      </w:r>
      <w:r w:rsidR="00D35AC7" w:rsidRPr="00535EBB">
        <w:rPr>
          <w:rFonts w:ascii="Arial" w:hAnsi="Arial" w:cs="Arial"/>
          <w:b/>
          <w:bCs/>
        </w:rPr>
        <w:t xml:space="preserve">evidence, </w:t>
      </w:r>
      <w:r w:rsidR="006B6D23" w:rsidRPr="00535EBB">
        <w:rPr>
          <w:rFonts w:ascii="Arial" w:hAnsi="Arial" w:cs="Arial"/>
          <w:b/>
          <w:bCs/>
        </w:rPr>
        <w:t xml:space="preserve">meaning evidence that is </w:t>
      </w:r>
      <w:r w:rsidR="00D35AC7" w:rsidRPr="00535EBB">
        <w:rPr>
          <w:rFonts w:ascii="Arial" w:hAnsi="Arial" w:cs="Arial"/>
          <w:b/>
          <w:bCs/>
        </w:rPr>
        <w:t>“</w:t>
      </w:r>
      <w:r w:rsidR="006B6D23" w:rsidRPr="00535EBB">
        <w:rPr>
          <w:rFonts w:ascii="Arial" w:hAnsi="Arial" w:cs="Arial"/>
          <w:b/>
          <w:bCs/>
        </w:rPr>
        <w:t xml:space="preserve">both competent, credible evidence of value and </w:t>
      </w:r>
      <w:r w:rsidR="001A2F22" w:rsidRPr="00535EBB">
        <w:rPr>
          <w:rFonts w:ascii="Arial" w:hAnsi="Arial" w:cs="Arial"/>
          <w:b/>
          <w:bCs/>
        </w:rPr>
        <w:t>a rational basis upon which to establish the value</w:t>
      </w:r>
      <w:r w:rsidR="001A2F22" w:rsidRPr="00535EBB">
        <w:rPr>
          <w:rFonts w:ascii="Arial" w:hAnsi="Arial" w:cs="Arial"/>
        </w:rPr>
        <w:t xml:space="preserve">.” </w:t>
      </w:r>
      <w:r w:rsidR="007F2498" w:rsidRPr="00535EBB">
        <w:rPr>
          <w:rFonts w:ascii="Arial" w:hAnsi="Arial" w:cs="Arial"/>
        </w:rPr>
        <w:t xml:space="preserve"> </w:t>
      </w:r>
    </w:p>
    <w:p w14:paraId="2F628E99" w14:textId="32300E86" w:rsidR="00B025E1" w:rsidRPr="00535EBB" w:rsidRDefault="00B025E1" w:rsidP="00C92B12">
      <w:pPr>
        <w:pStyle w:val="ListParagraph"/>
        <w:numPr>
          <w:ilvl w:val="1"/>
          <w:numId w:val="4"/>
        </w:numPr>
        <w:jc w:val="both"/>
        <w:rPr>
          <w:rFonts w:ascii="Arial" w:hAnsi="Arial" w:cs="Arial"/>
        </w:rPr>
      </w:pPr>
      <w:r w:rsidRPr="00535EBB">
        <w:rPr>
          <w:rFonts w:ascii="Arial" w:hAnsi="Arial" w:cs="Arial"/>
        </w:rPr>
        <w:t xml:space="preserve">On appeal, appellate courts are not responsible for adopting a particular method of valuation; however, they are tasked with determining whether the court abused its discretion in arriving at a particular value. </w:t>
      </w:r>
      <w:r w:rsidR="002F2A22" w:rsidRPr="00535EBB">
        <w:rPr>
          <w:rFonts w:ascii="Arial" w:hAnsi="Arial" w:cs="Arial"/>
        </w:rPr>
        <w:t xml:space="preserve">In other words, it is the appellate court’s role </w:t>
      </w:r>
      <w:r w:rsidR="00243A23" w:rsidRPr="00535EBB">
        <w:rPr>
          <w:rFonts w:ascii="Arial" w:hAnsi="Arial" w:cs="Arial"/>
        </w:rPr>
        <w:t>to “determine whether there is relevant, competent, and credible evidence upon which the fact finder could base his or her judgment.”</w:t>
      </w:r>
    </w:p>
    <w:p w14:paraId="292C65A7" w14:textId="0AB524E9" w:rsidR="00243A23" w:rsidRPr="00535EBB" w:rsidRDefault="00243A23" w:rsidP="00C92B12">
      <w:pPr>
        <w:pStyle w:val="ListParagraph"/>
        <w:numPr>
          <w:ilvl w:val="0"/>
          <w:numId w:val="4"/>
        </w:numPr>
        <w:jc w:val="both"/>
        <w:rPr>
          <w:rFonts w:ascii="Arial" w:hAnsi="Arial" w:cs="Arial"/>
        </w:rPr>
      </w:pPr>
      <w:r w:rsidRPr="00535EBB">
        <w:rPr>
          <w:rFonts w:ascii="Arial" w:hAnsi="Arial" w:cs="Arial"/>
        </w:rPr>
        <w:t xml:space="preserve">Holding </w:t>
      </w:r>
    </w:p>
    <w:p w14:paraId="0BF2A8B2" w14:textId="11513185" w:rsidR="00243A23" w:rsidRPr="00535EBB" w:rsidRDefault="00490E64" w:rsidP="00C92B12">
      <w:pPr>
        <w:pStyle w:val="ListParagraph"/>
        <w:numPr>
          <w:ilvl w:val="1"/>
          <w:numId w:val="4"/>
        </w:numPr>
        <w:jc w:val="both"/>
        <w:rPr>
          <w:rFonts w:ascii="Arial" w:hAnsi="Arial" w:cs="Arial"/>
          <w:b/>
          <w:bCs/>
        </w:rPr>
      </w:pPr>
      <w:r w:rsidRPr="00535EBB">
        <w:rPr>
          <w:rFonts w:ascii="Arial" w:hAnsi="Arial" w:cs="Arial"/>
        </w:rPr>
        <w:t xml:space="preserve">The court found that the </w:t>
      </w:r>
      <w:r w:rsidRPr="00535EBB">
        <w:rPr>
          <w:rFonts w:ascii="Arial" w:hAnsi="Arial" w:cs="Arial"/>
          <w:b/>
          <w:bCs/>
        </w:rPr>
        <w:t>trial court did not abuse its discretion in relying on the appraisal report</w:t>
      </w:r>
      <w:r w:rsidR="00C25322" w:rsidRPr="00535EBB">
        <w:rPr>
          <w:rFonts w:ascii="Arial" w:hAnsi="Arial" w:cs="Arial"/>
          <w:b/>
          <w:bCs/>
        </w:rPr>
        <w:t>.</w:t>
      </w:r>
    </w:p>
    <w:p w14:paraId="6D97C5F7" w14:textId="16AC0AC8" w:rsidR="00490E64" w:rsidRPr="00535EBB" w:rsidRDefault="00490E64" w:rsidP="00C92B12">
      <w:pPr>
        <w:pStyle w:val="ListParagraph"/>
        <w:numPr>
          <w:ilvl w:val="1"/>
          <w:numId w:val="4"/>
        </w:numPr>
        <w:jc w:val="both"/>
        <w:rPr>
          <w:rFonts w:ascii="Arial" w:hAnsi="Arial" w:cs="Arial"/>
        </w:rPr>
      </w:pPr>
      <w:r w:rsidRPr="00535EBB">
        <w:rPr>
          <w:rFonts w:ascii="Arial" w:hAnsi="Arial" w:cs="Arial"/>
        </w:rPr>
        <w:t xml:space="preserve">The court noted </w:t>
      </w:r>
      <w:r w:rsidR="00D57B5B" w:rsidRPr="00535EBB">
        <w:rPr>
          <w:rFonts w:ascii="Arial" w:hAnsi="Arial" w:cs="Arial"/>
        </w:rPr>
        <w:t xml:space="preserve">the </w:t>
      </w:r>
      <w:r w:rsidR="00D57B5B" w:rsidRPr="00535EBB">
        <w:rPr>
          <w:rFonts w:ascii="Arial" w:hAnsi="Arial" w:cs="Arial"/>
          <w:b/>
          <w:bCs/>
        </w:rPr>
        <w:t>wife had ample time to seek an alternative appraisal but failed to do so</w:t>
      </w:r>
      <w:r w:rsidR="00D57B5B" w:rsidRPr="00535EBB">
        <w:rPr>
          <w:rFonts w:ascii="Arial" w:hAnsi="Arial" w:cs="Arial"/>
        </w:rPr>
        <w:t xml:space="preserve">. The wife </w:t>
      </w:r>
      <w:r w:rsidR="00450A69" w:rsidRPr="00535EBB">
        <w:rPr>
          <w:rFonts w:ascii="Arial" w:hAnsi="Arial" w:cs="Arial"/>
        </w:rPr>
        <w:t xml:space="preserve">did not </w:t>
      </w:r>
      <w:r w:rsidR="007C6628" w:rsidRPr="00535EBB">
        <w:rPr>
          <w:rFonts w:ascii="Arial" w:hAnsi="Arial" w:cs="Arial"/>
        </w:rPr>
        <w:t>argue that</w:t>
      </w:r>
      <w:r w:rsidR="00450A69" w:rsidRPr="00535EBB">
        <w:rPr>
          <w:rFonts w:ascii="Arial" w:hAnsi="Arial" w:cs="Arial"/>
        </w:rPr>
        <w:t xml:space="preserve"> the appraisal report itsel</w:t>
      </w:r>
      <w:r w:rsidR="007C6628" w:rsidRPr="00535EBB">
        <w:rPr>
          <w:rFonts w:ascii="Arial" w:hAnsi="Arial" w:cs="Arial"/>
        </w:rPr>
        <w:t xml:space="preserve">f was inadequate or that it relied on improper facts and sources. Additionally, the wife </w:t>
      </w:r>
      <w:r w:rsidR="00C92B12" w:rsidRPr="00535EBB">
        <w:rPr>
          <w:rFonts w:ascii="Arial" w:hAnsi="Arial" w:cs="Arial"/>
        </w:rPr>
        <w:t xml:space="preserve">did not present competing expert evidence regarding the home’s valuation. </w:t>
      </w:r>
    </w:p>
    <w:p w14:paraId="5D318D88" w14:textId="4C7721FA" w:rsidR="00466759" w:rsidRPr="00535EBB" w:rsidRDefault="00D20912" w:rsidP="00C92B12">
      <w:pPr>
        <w:jc w:val="both"/>
        <w:rPr>
          <w:rFonts w:ascii="Arial" w:hAnsi="Arial" w:cs="Arial"/>
        </w:rPr>
      </w:pPr>
      <w:r w:rsidRPr="00535EBB">
        <w:rPr>
          <w:rFonts w:ascii="Arial" w:hAnsi="Arial" w:cs="Arial"/>
          <w:b/>
          <w:bCs/>
          <w:i/>
          <w:iCs/>
        </w:rPr>
        <w:lastRenderedPageBreak/>
        <w:t>Sykes v. Sykes</w:t>
      </w:r>
      <w:r w:rsidRPr="00535EBB">
        <w:rPr>
          <w:rFonts w:ascii="Arial" w:hAnsi="Arial" w:cs="Arial"/>
          <w:b/>
          <w:bCs/>
        </w:rPr>
        <w:t xml:space="preserve">, </w:t>
      </w:r>
      <w:r w:rsidR="00466759" w:rsidRPr="00535EBB">
        <w:rPr>
          <w:rFonts w:ascii="Arial" w:hAnsi="Arial" w:cs="Arial"/>
          <w:b/>
          <w:bCs/>
        </w:rPr>
        <w:t>2024-Ohio-1042 (10th Dist.)</w:t>
      </w:r>
      <w:r w:rsidR="002B0B69" w:rsidRPr="00535EBB">
        <w:rPr>
          <w:rFonts w:ascii="Arial" w:hAnsi="Arial" w:cs="Arial"/>
          <w:b/>
          <w:bCs/>
        </w:rPr>
        <w:t>.</w:t>
      </w:r>
      <w:r w:rsidR="00466759" w:rsidRPr="00535EBB">
        <w:rPr>
          <w:rFonts w:ascii="Arial" w:hAnsi="Arial" w:cs="Arial"/>
        </w:rPr>
        <w:t xml:space="preserve"> – </w:t>
      </w:r>
      <w:r w:rsidR="00F70D7E" w:rsidRPr="00535EBB">
        <w:rPr>
          <w:rFonts w:ascii="Arial" w:hAnsi="Arial" w:cs="Arial"/>
        </w:rPr>
        <w:t xml:space="preserve">The court did not determine the trial court abused its discretion in valuing the marital home; however, it remanded the matter </w:t>
      </w:r>
      <w:r w:rsidR="00A85AA7" w:rsidRPr="00535EBB">
        <w:rPr>
          <w:rFonts w:ascii="Arial" w:hAnsi="Arial" w:cs="Arial"/>
        </w:rPr>
        <w:t xml:space="preserve">back to the trial court so that the trial court could indicate its basis </w:t>
      </w:r>
      <w:r w:rsidR="002B0B69" w:rsidRPr="00535EBB">
        <w:rPr>
          <w:rFonts w:ascii="Arial" w:hAnsi="Arial" w:cs="Arial"/>
        </w:rPr>
        <w:t xml:space="preserve">for </w:t>
      </w:r>
      <w:r w:rsidR="00430022" w:rsidRPr="00535EBB">
        <w:rPr>
          <w:rFonts w:ascii="Arial" w:hAnsi="Arial" w:cs="Arial"/>
        </w:rPr>
        <w:t>its</w:t>
      </w:r>
      <w:r w:rsidR="002B0B69" w:rsidRPr="00535EBB">
        <w:rPr>
          <w:rFonts w:ascii="Arial" w:hAnsi="Arial" w:cs="Arial"/>
        </w:rPr>
        <w:t xml:space="preserve"> valuation. Since the court could not determine how the trial court arrived at its valuation amount, it was unable to </w:t>
      </w:r>
      <w:r w:rsidR="00EC35D5" w:rsidRPr="00535EBB">
        <w:rPr>
          <w:rFonts w:ascii="Arial" w:hAnsi="Arial" w:cs="Arial"/>
        </w:rPr>
        <w:t xml:space="preserve">determine if the trial court </w:t>
      </w:r>
      <w:r w:rsidR="00171BDF" w:rsidRPr="00535EBB">
        <w:rPr>
          <w:rFonts w:ascii="Arial" w:hAnsi="Arial" w:cs="Arial"/>
        </w:rPr>
        <w:t xml:space="preserve">based its valuation on a rational evidentiary basis. The court was </w:t>
      </w:r>
      <w:r w:rsidR="00430022" w:rsidRPr="00535EBB">
        <w:rPr>
          <w:rFonts w:ascii="Arial" w:hAnsi="Arial" w:cs="Arial"/>
        </w:rPr>
        <w:t>then</w:t>
      </w:r>
      <w:r w:rsidR="00171BDF" w:rsidRPr="00535EBB">
        <w:rPr>
          <w:rFonts w:ascii="Arial" w:hAnsi="Arial" w:cs="Arial"/>
        </w:rPr>
        <w:t xml:space="preserve"> unable to review the “ultimate issue</w:t>
      </w:r>
      <w:r w:rsidR="00430022" w:rsidRPr="00535EBB">
        <w:rPr>
          <w:rFonts w:ascii="Arial" w:hAnsi="Arial" w:cs="Arial"/>
        </w:rPr>
        <w:t xml:space="preserve">,” which was </w:t>
      </w:r>
      <w:r w:rsidR="00171BDF" w:rsidRPr="00535EBB">
        <w:rPr>
          <w:rFonts w:ascii="Arial" w:hAnsi="Arial" w:cs="Arial"/>
        </w:rPr>
        <w:t xml:space="preserve">whether the </w:t>
      </w:r>
      <w:r w:rsidR="00583546" w:rsidRPr="00535EBB">
        <w:rPr>
          <w:rFonts w:ascii="Arial" w:hAnsi="Arial" w:cs="Arial"/>
        </w:rPr>
        <w:t xml:space="preserve">trial court’s </w:t>
      </w:r>
      <w:r w:rsidR="00171BDF" w:rsidRPr="00535EBB">
        <w:rPr>
          <w:rFonts w:ascii="Arial" w:hAnsi="Arial" w:cs="Arial"/>
        </w:rPr>
        <w:t xml:space="preserve">division of property was fair and equitable. </w:t>
      </w:r>
    </w:p>
    <w:p w14:paraId="4DD85498" w14:textId="1B706C2C" w:rsidR="00466759" w:rsidRPr="00535EBB" w:rsidRDefault="00466759" w:rsidP="00466759">
      <w:pPr>
        <w:pStyle w:val="ListParagraph"/>
        <w:numPr>
          <w:ilvl w:val="0"/>
          <w:numId w:val="5"/>
        </w:numPr>
        <w:jc w:val="both"/>
        <w:rPr>
          <w:rFonts w:ascii="Arial" w:hAnsi="Arial" w:cs="Arial"/>
        </w:rPr>
      </w:pPr>
      <w:r w:rsidRPr="00535EBB">
        <w:rPr>
          <w:rFonts w:ascii="Arial" w:hAnsi="Arial" w:cs="Arial"/>
        </w:rPr>
        <w:t xml:space="preserve">Facts </w:t>
      </w:r>
    </w:p>
    <w:p w14:paraId="4FDC6D9A" w14:textId="77777777" w:rsidR="003836ED" w:rsidRPr="00535EBB" w:rsidRDefault="00171BDF" w:rsidP="00171BDF">
      <w:pPr>
        <w:pStyle w:val="ListParagraph"/>
        <w:numPr>
          <w:ilvl w:val="1"/>
          <w:numId w:val="5"/>
        </w:numPr>
        <w:jc w:val="both"/>
        <w:rPr>
          <w:rFonts w:ascii="Arial" w:hAnsi="Arial" w:cs="Arial"/>
        </w:rPr>
      </w:pPr>
      <w:r w:rsidRPr="00535EBB">
        <w:rPr>
          <w:rFonts w:ascii="Arial" w:hAnsi="Arial" w:cs="Arial"/>
        </w:rPr>
        <w:t xml:space="preserve">The </w:t>
      </w:r>
      <w:r w:rsidR="009B055C" w:rsidRPr="00535EBB">
        <w:rPr>
          <w:rFonts w:ascii="Arial" w:hAnsi="Arial" w:cs="Arial"/>
          <w:b/>
          <w:bCs/>
        </w:rPr>
        <w:t>wife</w:t>
      </w:r>
      <w:r w:rsidR="0010122C" w:rsidRPr="00535EBB">
        <w:rPr>
          <w:rFonts w:ascii="Arial" w:hAnsi="Arial" w:cs="Arial"/>
          <w:b/>
          <w:bCs/>
        </w:rPr>
        <w:t>-</w:t>
      </w:r>
      <w:r w:rsidR="000C7C15" w:rsidRPr="00535EBB">
        <w:rPr>
          <w:rFonts w:ascii="Arial" w:hAnsi="Arial" w:cs="Arial"/>
          <w:b/>
          <w:bCs/>
        </w:rPr>
        <w:t>appellant</w:t>
      </w:r>
      <w:r w:rsidR="009B055C" w:rsidRPr="00535EBB">
        <w:rPr>
          <w:rFonts w:ascii="Arial" w:hAnsi="Arial" w:cs="Arial"/>
          <w:b/>
          <w:bCs/>
        </w:rPr>
        <w:t xml:space="preserve"> </w:t>
      </w:r>
      <w:r w:rsidR="000C7C15" w:rsidRPr="00535EBB">
        <w:rPr>
          <w:rFonts w:ascii="Arial" w:hAnsi="Arial" w:cs="Arial"/>
          <w:b/>
          <w:bCs/>
        </w:rPr>
        <w:t>presented the court with an appraisal</w:t>
      </w:r>
      <w:r w:rsidR="002E30D9" w:rsidRPr="00535EBB">
        <w:rPr>
          <w:rFonts w:ascii="Arial" w:hAnsi="Arial" w:cs="Arial"/>
        </w:rPr>
        <w:t>,</w:t>
      </w:r>
      <w:r w:rsidR="00F055BA" w:rsidRPr="00535EBB">
        <w:rPr>
          <w:rFonts w:ascii="Arial" w:hAnsi="Arial" w:cs="Arial"/>
        </w:rPr>
        <w:t xml:space="preserve"> conducted by a certified residential real estate </w:t>
      </w:r>
      <w:r w:rsidR="002E30D9" w:rsidRPr="00535EBB">
        <w:rPr>
          <w:rFonts w:ascii="Arial" w:hAnsi="Arial" w:cs="Arial"/>
        </w:rPr>
        <w:t>appraiser</w:t>
      </w:r>
      <w:r w:rsidR="003836ED" w:rsidRPr="00535EBB">
        <w:rPr>
          <w:rFonts w:ascii="Arial" w:hAnsi="Arial" w:cs="Arial"/>
        </w:rPr>
        <w:t xml:space="preserve">. The appraiser testified at trial and appraised the value of the home at $535,000 based on the “sales comparison approach.” </w:t>
      </w:r>
    </w:p>
    <w:p w14:paraId="64D502CB" w14:textId="46755916" w:rsidR="00171BDF" w:rsidRPr="00535EBB" w:rsidRDefault="003836ED" w:rsidP="00171BDF">
      <w:pPr>
        <w:pStyle w:val="ListParagraph"/>
        <w:numPr>
          <w:ilvl w:val="1"/>
          <w:numId w:val="5"/>
        </w:numPr>
        <w:jc w:val="both"/>
        <w:rPr>
          <w:rFonts w:ascii="Arial" w:hAnsi="Arial" w:cs="Arial"/>
        </w:rPr>
      </w:pPr>
      <w:r w:rsidRPr="00535EBB">
        <w:rPr>
          <w:rFonts w:ascii="Arial" w:hAnsi="Arial" w:cs="Arial"/>
        </w:rPr>
        <w:t xml:space="preserve">The </w:t>
      </w:r>
      <w:r w:rsidRPr="00535EBB">
        <w:rPr>
          <w:rFonts w:ascii="Arial" w:hAnsi="Arial" w:cs="Arial"/>
          <w:b/>
          <w:bCs/>
        </w:rPr>
        <w:t>husband-appellee</w:t>
      </w:r>
      <w:r w:rsidR="00BA2ECA" w:rsidRPr="00535EBB">
        <w:rPr>
          <w:rFonts w:ascii="Arial" w:hAnsi="Arial" w:cs="Arial"/>
          <w:b/>
          <w:bCs/>
        </w:rPr>
        <w:t xml:space="preserve"> instead</w:t>
      </w:r>
      <w:r w:rsidRPr="00535EBB">
        <w:rPr>
          <w:rFonts w:ascii="Arial" w:hAnsi="Arial" w:cs="Arial"/>
          <w:b/>
          <w:bCs/>
        </w:rPr>
        <w:t xml:space="preserve"> urged the </w:t>
      </w:r>
      <w:r w:rsidR="00BA2ECA" w:rsidRPr="00535EBB">
        <w:rPr>
          <w:rFonts w:ascii="Arial" w:hAnsi="Arial" w:cs="Arial"/>
          <w:b/>
          <w:bCs/>
        </w:rPr>
        <w:t xml:space="preserve">court to value the home </w:t>
      </w:r>
      <w:r w:rsidR="006F708D" w:rsidRPr="00535EBB">
        <w:rPr>
          <w:rFonts w:ascii="Arial" w:hAnsi="Arial" w:cs="Arial"/>
          <w:b/>
          <w:bCs/>
        </w:rPr>
        <w:t>using the auditor’s 2022 appraised value</w:t>
      </w:r>
      <w:r w:rsidR="006F708D" w:rsidRPr="00535EBB">
        <w:rPr>
          <w:rFonts w:ascii="Arial" w:hAnsi="Arial" w:cs="Arial"/>
        </w:rPr>
        <w:t xml:space="preserve"> at $285,900.</w:t>
      </w:r>
    </w:p>
    <w:p w14:paraId="05CA04F4" w14:textId="5E88FC5E" w:rsidR="00B3474F" w:rsidRPr="00535EBB" w:rsidRDefault="00B3474F" w:rsidP="00171BDF">
      <w:pPr>
        <w:pStyle w:val="ListParagraph"/>
        <w:numPr>
          <w:ilvl w:val="1"/>
          <w:numId w:val="5"/>
        </w:numPr>
        <w:jc w:val="both"/>
        <w:rPr>
          <w:rFonts w:ascii="Arial" w:hAnsi="Arial" w:cs="Arial"/>
          <w:b/>
          <w:bCs/>
        </w:rPr>
      </w:pPr>
      <w:r w:rsidRPr="00535EBB">
        <w:rPr>
          <w:rFonts w:ascii="Arial" w:hAnsi="Arial" w:cs="Arial"/>
        </w:rPr>
        <w:t xml:space="preserve">The </w:t>
      </w:r>
      <w:r w:rsidRPr="00535EBB">
        <w:rPr>
          <w:rFonts w:ascii="Arial" w:hAnsi="Arial" w:cs="Arial"/>
          <w:b/>
          <w:bCs/>
        </w:rPr>
        <w:t>trial court determined the marital residence should be valued at $440,000 to “reflect the current real estate market.”</w:t>
      </w:r>
    </w:p>
    <w:p w14:paraId="55934D9D" w14:textId="0F46342D" w:rsidR="00B3474F" w:rsidRPr="00535EBB" w:rsidRDefault="00B3474F" w:rsidP="00B3474F">
      <w:pPr>
        <w:pStyle w:val="ListParagraph"/>
        <w:numPr>
          <w:ilvl w:val="1"/>
          <w:numId w:val="5"/>
        </w:numPr>
        <w:jc w:val="both"/>
        <w:rPr>
          <w:rFonts w:ascii="Arial" w:hAnsi="Arial" w:cs="Arial"/>
        </w:rPr>
      </w:pPr>
      <w:r w:rsidRPr="00535EBB">
        <w:rPr>
          <w:rFonts w:ascii="Arial" w:hAnsi="Arial" w:cs="Arial"/>
        </w:rPr>
        <w:t xml:space="preserve">The husband argued </w:t>
      </w:r>
      <w:r w:rsidR="007E7702" w:rsidRPr="00535EBB">
        <w:rPr>
          <w:rFonts w:ascii="Arial" w:hAnsi="Arial" w:cs="Arial"/>
        </w:rPr>
        <w:t xml:space="preserve">that </w:t>
      </w:r>
      <w:r w:rsidRPr="00535EBB">
        <w:rPr>
          <w:rFonts w:ascii="Arial" w:hAnsi="Arial" w:cs="Arial"/>
        </w:rPr>
        <w:t>the trial court</w:t>
      </w:r>
      <w:r w:rsidR="005A4512" w:rsidRPr="00535EBB">
        <w:rPr>
          <w:rFonts w:ascii="Arial" w:hAnsi="Arial" w:cs="Arial"/>
        </w:rPr>
        <w:t xml:space="preserve"> erred when it</w:t>
      </w:r>
      <w:r w:rsidRPr="00535EBB">
        <w:rPr>
          <w:rFonts w:ascii="Arial" w:hAnsi="Arial" w:cs="Arial"/>
        </w:rPr>
        <w:t xml:space="preserve"> assigned a “middle of the road” value</w:t>
      </w:r>
      <w:r w:rsidR="005A4512" w:rsidRPr="00535EBB">
        <w:rPr>
          <w:rFonts w:ascii="Arial" w:hAnsi="Arial" w:cs="Arial"/>
        </w:rPr>
        <w:t>.</w:t>
      </w:r>
    </w:p>
    <w:p w14:paraId="6D2C8C92" w14:textId="12629A2A" w:rsidR="00466759" w:rsidRPr="00535EBB" w:rsidRDefault="00466759" w:rsidP="00466759">
      <w:pPr>
        <w:pStyle w:val="ListParagraph"/>
        <w:numPr>
          <w:ilvl w:val="0"/>
          <w:numId w:val="5"/>
        </w:numPr>
        <w:jc w:val="both"/>
        <w:rPr>
          <w:rFonts w:ascii="Arial" w:hAnsi="Arial" w:cs="Arial"/>
        </w:rPr>
      </w:pPr>
      <w:r w:rsidRPr="00535EBB">
        <w:rPr>
          <w:rFonts w:ascii="Arial" w:hAnsi="Arial" w:cs="Arial"/>
        </w:rPr>
        <w:t>Law</w:t>
      </w:r>
    </w:p>
    <w:p w14:paraId="568671BC" w14:textId="74ED6F42" w:rsidR="00466759" w:rsidRPr="00535EBB" w:rsidRDefault="00A94766" w:rsidP="00466759">
      <w:pPr>
        <w:pStyle w:val="ListParagraph"/>
        <w:numPr>
          <w:ilvl w:val="1"/>
          <w:numId w:val="5"/>
        </w:numPr>
        <w:jc w:val="both"/>
        <w:rPr>
          <w:rFonts w:ascii="Arial" w:hAnsi="Arial" w:cs="Arial"/>
        </w:rPr>
      </w:pPr>
      <w:r w:rsidRPr="00535EBB">
        <w:rPr>
          <w:rFonts w:ascii="Arial" w:hAnsi="Arial" w:cs="Arial"/>
        </w:rPr>
        <w:lastRenderedPageBreak/>
        <w:t>“In general, ‘</w:t>
      </w:r>
      <w:r w:rsidR="009F5DC4" w:rsidRPr="00535EBB">
        <w:rPr>
          <w:rFonts w:ascii="Arial" w:hAnsi="Arial" w:cs="Arial"/>
        </w:rPr>
        <w:t>[a] domestic relations court enjoys broad discretion in valuing and fashioning a division of marital property.’”</w:t>
      </w:r>
    </w:p>
    <w:p w14:paraId="50AE334E" w14:textId="33AA06DF" w:rsidR="006F7224" w:rsidRPr="00535EBB" w:rsidRDefault="006F7224" w:rsidP="005A4512">
      <w:pPr>
        <w:pStyle w:val="ListParagraph"/>
        <w:numPr>
          <w:ilvl w:val="1"/>
          <w:numId w:val="5"/>
        </w:numPr>
        <w:jc w:val="both"/>
        <w:rPr>
          <w:rFonts w:ascii="Arial" w:hAnsi="Arial" w:cs="Arial"/>
        </w:rPr>
      </w:pPr>
      <w:r w:rsidRPr="00535EBB">
        <w:rPr>
          <w:rFonts w:ascii="Arial" w:hAnsi="Arial" w:cs="Arial"/>
        </w:rPr>
        <w:t>“When expert testimony is admitted ‘as to property values, the court may believe all, part, or none of the expert’s testimony.’”</w:t>
      </w:r>
    </w:p>
    <w:p w14:paraId="0B880426" w14:textId="0CEC3D41" w:rsidR="009F5DC4" w:rsidRPr="00535EBB" w:rsidRDefault="00DC528E" w:rsidP="009F5DC4">
      <w:pPr>
        <w:pStyle w:val="ListParagraph"/>
        <w:numPr>
          <w:ilvl w:val="0"/>
          <w:numId w:val="5"/>
        </w:numPr>
        <w:jc w:val="both"/>
        <w:rPr>
          <w:rFonts w:ascii="Arial" w:hAnsi="Arial" w:cs="Arial"/>
        </w:rPr>
      </w:pPr>
      <w:r w:rsidRPr="00535EBB">
        <w:rPr>
          <w:rFonts w:ascii="Arial" w:hAnsi="Arial" w:cs="Arial"/>
        </w:rPr>
        <w:t xml:space="preserve">Holding </w:t>
      </w:r>
    </w:p>
    <w:p w14:paraId="5B3F9678" w14:textId="18AD83A9" w:rsidR="00DC528E" w:rsidRPr="00535EBB" w:rsidRDefault="00EE18AE" w:rsidP="00255C42">
      <w:pPr>
        <w:pStyle w:val="ListParagraph"/>
        <w:numPr>
          <w:ilvl w:val="1"/>
          <w:numId w:val="5"/>
        </w:numPr>
        <w:jc w:val="both"/>
        <w:rPr>
          <w:rFonts w:ascii="Arial" w:hAnsi="Arial" w:cs="Arial"/>
        </w:rPr>
      </w:pPr>
      <w:r w:rsidRPr="00535EBB">
        <w:rPr>
          <w:rFonts w:ascii="Arial" w:hAnsi="Arial" w:cs="Arial"/>
        </w:rPr>
        <w:t xml:space="preserve">The </w:t>
      </w:r>
      <w:r w:rsidR="00DF172F" w:rsidRPr="00535EBB">
        <w:rPr>
          <w:rFonts w:ascii="Arial" w:hAnsi="Arial" w:cs="Arial"/>
        </w:rPr>
        <w:t xml:space="preserve">court </w:t>
      </w:r>
      <w:r w:rsidR="00AF2CD6" w:rsidRPr="00535EBB">
        <w:rPr>
          <w:rFonts w:ascii="Arial" w:hAnsi="Arial" w:cs="Arial"/>
        </w:rPr>
        <w:t>stated</w:t>
      </w:r>
      <w:r w:rsidR="00DF172F" w:rsidRPr="00535EBB">
        <w:rPr>
          <w:rFonts w:ascii="Arial" w:hAnsi="Arial" w:cs="Arial"/>
        </w:rPr>
        <w:t xml:space="preserve"> the trial court could have arrived at the home’s valuation by relying on </w:t>
      </w:r>
      <w:r w:rsidR="001919CE" w:rsidRPr="00535EBB">
        <w:rPr>
          <w:rFonts w:ascii="Arial" w:hAnsi="Arial" w:cs="Arial"/>
        </w:rPr>
        <w:t xml:space="preserve">comparable </w:t>
      </w:r>
      <w:r w:rsidR="00255C42" w:rsidRPr="00535EBB">
        <w:rPr>
          <w:rFonts w:ascii="Arial" w:hAnsi="Arial" w:cs="Arial"/>
        </w:rPr>
        <w:t xml:space="preserve">values outlined in the </w:t>
      </w:r>
      <w:r w:rsidR="00AF2CD6" w:rsidRPr="00535EBB">
        <w:rPr>
          <w:rFonts w:ascii="Arial" w:hAnsi="Arial" w:cs="Arial"/>
        </w:rPr>
        <w:t>appraiser's</w:t>
      </w:r>
      <w:r w:rsidR="00255C42" w:rsidRPr="00535EBB">
        <w:rPr>
          <w:rFonts w:ascii="Arial" w:hAnsi="Arial" w:cs="Arial"/>
        </w:rPr>
        <w:t xml:space="preserve"> report; however, </w:t>
      </w:r>
      <w:r w:rsidR="00F12379" w:rsidRPr="00535EBB">
        <w:rPr>
          <w:rFonts w:ascii="Arial" w:hAnsi="Arial" w:cs="Arial"/>
        </w:rPr>
        <w:t xml:space="preserve">the rationale </w:t>
      </w:r>
      <w:r w:rsidR="0082062E" w:rsidRPr="00535EBB">
        <w:rPr>
          <w:rFonts w:ascii="Arial" w:hAnsi="Arial" w:cs="Arial"/>
        </w:rPr>
        <w:t>for said valuation was not explained by the trial court</w:t>
      </w:r>
      <w:r w:rsidR="009328E8" w:rsidRPr="00535EBB">
        <w:rPr>
          <w:rFonts w:ascii="Arial" w:hAnsi="Arial" w:cs="Arial"/>
        </w:rPr>
        <w:t>,</w:t>
      </w:r>
      <w:r w:rsidR="0082062E" w:rsidRPr="00535EBB">
        <w:rPr>
          <w:rFonts w:ascii="Arial" w:hAnsi="Arial" w:cs="Arial"/>
        </w:rPr>
        <w:t xml:space="preserve"> nor explained from the record. </w:t>
      </w:r>
      <w:r w:rsidR="00391CF7" w:rsidRPr="00535EBB">
        <w:rPr>
          <w:rFonts w:ascii="Arial" w:hAnsi="Arial" w:cs="Arial"/>
        </w:rPr>
        <w:t xml:space="preserve"> </w:t>
      </w:r>
    </w:p>
    <w:p w14:paraId="40F01335" w14:textId="4DAFCD73" w:rsidR="00391CF7" w:rsidRPr="00535EBB" w:rsidRDefault="00AF2CD6" w:rsidP="00255C42">
      <w:pPr>
        <w:pStyle w:val="ListParagraph"/>
        <w:numPr>
          <w:ilvl w:val="1"/>
          <w:numId w:val="5"/>
        </w:numPr>
        <w:jc w:val="both"/>
        <w:rPr>
          <w:rFonts w:ascii="Arial" w:hAnsi="Arial" w:cs="Arial"/>
        </w:rPr>
      </w:pPr>
      <w:r w:rsidRPr="00535EBB">
        <w:rPr>
          <w:rFonts w:ascii="Arial" w:hAnsi="Arial" w:cs="Arial"/>
        </w:rPr>
        <w:t xml:space="preserve">The court noted that </w:t>
      </w:r>
      <w:r w:rsidR="00803DFD" w:rsidRPr="00535EBB">
        <w:rPr>
          <w:rFonts w:ascii="Arial" w:hAnsi="Arial" w:cs="Arial"/>
        </w:rPr>
        <w:t xml:space="preserve">while </w:t>
      </w:r>
      <w:r w:rsidRPr="00535EBB">
        <w:rPr>
          <w:rFonts w:ascii="Arial" w:hAnsi="Arial" w:cs="Arial"/>
        </w:rPr>
        <w:t>the $</w:t>
      </w:r>
      <w:r w:rsidR="003C6E25" w:rsidRPr="00535EBB">
        <w:rPr>
          <w:rFonts w:ascii="Arial" w:hAnsi="Arial" w:cs="Arial"/>
        </w:rPr>
        <w:t>440,000 valuation assigned by the trial court was within the range of valuations offered by the parties</w:t>
      </w:r>
      <w:r w:rsidR="00803DFD" w:rsidRPr="00535EBB">
        <w:rPr>
          <w:rFonts w:ascii="Arial" w:hAnsi="Arial" w:cs="Arial"/>
        </w:rPr>
        <w:t>, “</w:t>
      </w:r>
      <w:r w:rsidR="00803DFD" w:rsidRPr="00535EBB">
        <w:rPr>
          <w:rFonts w:ascii="Arial" w:hAnsi="Arial" w:cs="Arial"/>
          <w:b/>
          <w:bCs/>
        </w:rPr>
        <w:t xml:space="preserve">a trial court must still </w:t>
      </w:r>
      <w:r w:rsidR="00F12379" w:rsidRPr="00535EBB">
        <w:rPr>
          <w:rFonts w:ascii="Arial" w:hAnsi="Arial" w:cs="Arial"/>
          <w:b/>
          <w:bCs/>
        </w:rPr>
        <w:t>have</w:t>
      </w:r>
      <w:r w:rsidR="00803DFD" w:rsidRPr="00535EBB">
        <w:rPr>
          <w:rFonts w:ascii="Arial" w:hAnsi="Arial" w:cs="Arial"/>
          <w:b/>
          <w:bCs/>
        </w:rPr>
        <w:t xml:space="preserve"> </w:t>
      </w:r>
      <w:r w:rsidR="00F12379" w:rsidRPr="00535EBB">
        <w:rPr>
          <w:rFonts w:ascii="Arial" w:hAnsi="Arial" w:cs="Arial"/>
          <w:b/>
          <w:bCs/>
        </w:rPr>
        <w:t>‘</w:t>
      </w:r>
      <w:r w:rsidR="00803DFD" w:rsidRPr="00535EBB">
        <w:rPr>
          <w:rFonts w:ascii="Arial" w:hAnsi="Arial" w:cs="Arial"/>
          <w:b/>
          <w:bCs/>
        </w:rPr>
        <w:t>a rational evidentiary basis for assigning value to marital property</w:t>
      </w:r>
      <w:r w:rsidR="00803DFD" w:rsidRPr="00535EBB">
        <w:rPr>
          <w:rFonts w:ascii="Arial" w:hAnsi="Arial" w:cs="Arial"/>
        </w:rPr>
        <w:t>.</w:t>
      </w:r>
      <w:r w:rsidR="00F12379" w:rsidRPr="00535EBB">
        <w:rPr>
          <w:rFonts w:ascii="Arial" w:hAnsi="Arial" w:cs="Arial"/>
        </w:rPr>
        <w:t>’</w:t>
      </w:r>
      <w:r w:rsidR="00803DFD" w:rsidRPr="00535EBB">
        <w:rPr>
          <w:rFonts w:ascii="Arial" w:hAnsi="Arial" w:cs="Arial"/>
        </w:rPr>
        <w:t>”</w:t>
      </w:r>
    </w:p>
    <w:p w14:paraId="04077D68" w14:textId="16F265CB" w:rsidR="009328E8" w:rsidRPr="00535EBB" w:rsidRDefault="00AF5021" w:rsidP="00255C42">
      <w:pPr>
        <w:pStyle w:val="ListParagraph"/>
        <w:numPr>
          <w:ilvl w:val="1"/>
          <w:numId w:val="5"/>
        </w:numPr>
        <w:jc w:val="both"/>
        <w:rPr>
          <w:rFonts w:ascii="Arial" w:hAnsi="Arial" w:cs="Arial"/>
        </w:rPr>
      </w:pPr>
      <w:r w:rsidRPr="00535EBB">
        <w:rPr>
          <w:rFonts w:ascii="Arial" w:hAnsi="Arial" w:cs="Arial"/>
          <w:b/>
          <w:bCs/>
        </w:rPr>
        <w:t>Based on the absence of explanation, the court was unable to</w:t>
      </w:r>
      <w:r w:rsidR="00EF60D3" w:rsidRPr="00535EBB">
        <w:rPr>
          <w:rFonts w:ascii="Arial" w:hAnsi="Arial" w:cs="Arial"/>
          <w:b/>
          <w:bCs/>
        </w:rPr>
        <w:t xml:space="preserve"> determine whether there existed a rational basis upon which the trial court relied </w:t>
      </w:r>
      <w:r w:rsidR="00330C79" w:rsidRPr="00535EBB">
        <w:rPr>
          <w:rFonts w:ascii="Arial" w:hAnsi="Arial" w:cs="Arial"/>
          <w:b/>
          <w:bCs/>
        </w:rPr>
        <w:t xml:space="preserve">to assign </w:t>
      </w:r>
      <w:r w:rsidR="000F05E9" w:rsidRPr="00535EBB">
        <w:rPr>
          <w:rFonts w:ascii="Arial" w:hAnsi="Arial" w:cs="Arial"/>
          <w:b/>
          <w:bCs/>
        </w:rPr>
        <w:t>value</w:t>
      </w:r>
      <w:r w:rsidR="00330C79" w:rsidRPr="00535EBB">
        <w:rPr>
          <w:rFonts w:ascii="Arial" w:hAnsi="Arial" w:cs="Arial"/>
          <w:b/>
          <w:bCs/>
        </w:rPr>
        <w:t xml:space="preserve"> to the parties’ marital home</w:t>
      </w:r>
      <w:r w:rsidR="00330C79" w:rsidRPr="00535EBB">
        <w:rPr>
          <w:rFonts w:ascii="Arial" w:hAnsi="Arial" w:cs="Arial"/>
        </w:rPr>
        <w:t xml:space="preserve">. In addition, the court was “unable to </w:t>
      </w:r>
      <w:r w:rsidR="00FB4AB0" w:rsidRPr="00535EBB">
        <w:rPr>
          <w:rFonts w:ascii="Arial" w:hAnsi="Arial" w:cs="Arial"/>
        </w:rPr>
        <w:t>review the ‘ultimate issue’ as to whether the division of property was fair and equitable.”</w:t>
      </w:r>
    </w:p>
    <w:p w14:paraId="5FE8D5F9" w14:textId="31DC9024" w:rsidR="00FB4AB0" w:rsidRPr="00535EBB" w:rsidRDefault="00FB4AB0" w:rsidP="00255C42">
      <w:pPr>
        <w:pStyle w:val="ListParagraph"/>
        <w:numPr>
          <w:ilvl w:val="1"/>
          <w:numId w:val="5"/>
        </w:numPr>
        <w:jc w:val="both"/>
        <w:rPr>
          <w:rFonts w:ascii="Arial" w:hAnsi="Arial" w:cs="Arial"/>
          <w:b/>
          <w:bCs/>
        </w:rPr>
      </w:pPr>
      <w:r w:rsidRPr="00535EBB">
        <w:rPr>
          <w:rFonts w:ascii="Arial" w:hAnsi="Arial" w:cs="Arial"/>
        </w:rPr>
        <w:lastRenderedPageBreak/>
        <w:t xml:space="preserve">The trial court did not rule that the trial court abused its discretion; rather, </w:t>
      </w:r>
      <w:r w:rsidR="00F000FA" w:rsidRPr="00535EBB">
        <w:rPr>
          <w:rFonts w:ascii="Arial" w:hAnsi="Arial" w:cs="Arial"/>
        </w:rPr>
        <w:t xml:space="preserve">it </w:t>
      </w:r>
      <w:r w:rsidR="00F000FA" w:rsidRPr="00535EBB">
        <w:rPr>
          <w:rFonts w:ascii="Arial" w:hAnsi="Arial" w:cs="Arial"/>
          <w:b/>
          <w:bCs/>
        </w:rPr>
        <w:t xml:space="preserve">remanded the matter for the limited purpose of allowing the trial court to indicate its basis for its valuation. </w:t>
      </w:r>
    </w:p>
    <w:p w14:paraId="5E4871B3" w14:textId="6F03FE4E" w:rsidR="000223F6" w:rsidRPr="00535EBB" w:rsidRDefault="000223F6" w:rsidP="000223F6">
      <w:pPr>
        <w:jc w:val="both"/>
        <w:rPr>
          <w:rFonts w:ascii="Arial" w:hAnsi="Arial" w:cs="Arial"/>
          <w:strike/>
        </w:rPr>
      </w:pPr>
      <w:r w:rsidRPr="00535EBB">
        <w:rPr>
          <w:rFonts w:ascii="Arial" w:hAnsi="Arial" w:cs="Arial"/>
          <w:b/>
          <w:bCs/>
          <w:i/>
          <w:iCs/>
        </w:rPr>
        <w:t xml:space="preserve">Oakes v. Oakes David C. Oakes &amp; </w:t>
      </w:r>
      <w:proofErr w:type="spellStart"/>
      <w:r w:rsidRPr="00535EBB">
        <w:rPr>
          <w:rFonts w:ascii="Arial" w:hAnsi="Arial" w:cs="Arial"/>
          <w:b/>
          <w:bCs/>
          <w:i/>
          <w:iCs/>
        </w:rPr>
        <w:t>Leadwise</w:t>
      </w:r>
      <w:proofErr w:type="spellEnd"/>
      <w:r w:rsidRPr="00535EBB">
        <w:rPr>
          <w:rFonts w:ascii="Arial" w:hAnsi="Arial" w:cs="Arial"/>
          <w:b/>
          <w:bCs/>
          <w:i/>
          <w:iCs/>
        </w:rPr>
        <w:t>, Inc.</w:t>
      </w:r>
      <w:r w:rsidRPr="00535EBB">
        <w:rPr>
          <w:rFonts w:ascii="Arial" w:hAnsi="Arial" w:cs="Arial"/>
          <w:b/>
          <w:bCs/>
        </w:rPr>
        <w:t xml:space="preserve">, 2024-Ohio-6051 (2nd </w:t>
      </w:r>
      <w:proofErr w:type="spellStart"/>
      <w:r w:rsidRPr="00535EBB">
        <w:rPr>
          <w:rFonts w:ascii="Arial" w:hAnsi="Arial" w:cs="Arial"/>
          <w:b/>
          <w:bCs/>
        </w:rPr>
        <w:t>Dist</w:t>
      </w:r>
      <w:proofErr w:type="spellEnd"/>
      <w:r w:rsidRPr="00535EBB">
        <w:rPr>
          <w:rFonts w:ascii="Arial" w:hAnsi="Arial" w:cs="Arial"/>
          <w:b/>
          <w:bCs/>
        </w:rPr>
        <w:t xml:space="preserve">). </w:t>
      </w:r>
      <w:r w:rsidRPr="00535EBB">
        <w:rPr>
          <w:rFonts w:ascii="Arial" w:hAnsi="Arial" w:cs="Arial"/>
        </w:rPr>
        <w:t xml:space="preserve">– The trial court lacked evidentiary support for its determination that the marital home’s fair market value was $5 million, which was the amount the husband claimed </w:t>
      </w:r>
      <w:r w:rsidR="004940F3" w:rsidRPr="00535EBB">
        <w:rPr>
          <w:rFonts w:ascii="Arial" w:hAnsi="Arial" w:cs="Arial"/>
        </w:rPr>
        <w:t xml:space="preserve">was </w:t>
      </w:r>
      <w:r w:rsidRPr="00535EBB">
        <w:rPr>
          <w:rFonts w:ascii="Arial" w:hAnsi="Arial" w:cs="Arial"/>
        </w:rPr>
        <w:t xml:space="preserve">how much it cost to build the home. </w:t>
      </w:r>
    </w:p>
    <w:p w14:paraId="1C3EC076" w14:textId="77777777" w:rsidR="000223F6" w:rsidRPr="00162C0E" w:rsidRDefault="000223F6" w:rsidP="000223F6">
      <w:pPr>
        <w:pStyle w:val="ListParagraph"/>
        <w:numPr>
          <w:ilvl w:val="0"/>
          <w:numId w:val="3"/>
        </w:numPr>
        <w:jc w:val="both"/>
        <w:rPr>
          <w:rFonts w:ascii="Arial" w:hAnsi="Arial" w:cs="Arial"/>
        </w:rPr>
      </w:pPr>
      <w:r w:rsidRPr="00162C0E">
        <w:rPr>
          <w:rFonts w:ascii="Arial" w:hAnsi="Arial" w:cs="Arial"/>
        </w:rPr>
        <w:t xml:space="preserve">Facts </w:t>
      </w:r>
    </w:p>
    <w:p w14:paraId="2E6A3FF1" w14:textId="77777777" w:rsidR="000223F6" w:rsidRPr="00535EBB" w:rsidRDefault="000223F6" w:rsidP="000223F6">
      <w:pPr>
        <w:pStyle w:val="ListParagraph"/>
        <w:numPr>
          <w:ilvl w:val="1"/>
          <w:numId w:val="3"/>
        </w:numPr>
        <w:jc w:val="both"/>
        <w:rPr>
          <w:rFonts w:ascii="Arial" w:hAnsi="Arial" w:cs="Arial"/>
        </w:rPr>
      </w:pPr>
      <w:r w:rsidRPr="00535EBB">
        <w:rPr>
          <w:rFonts w:ascii="Arial" w:hAnsi="Arial" w:cs="Arial"/>
        </w:rPr>
        <w:t xml:space="preserve">Valuation of the marital home </w:t>
      </w:r>
    </w:p>
    <w:p w14:paraId="3D23C88F" w14:textId="77777777" w:rsidR="000223F6" w:rsidRPr="00535EBB" w:rsidRDefault="000223F6" w:rsidP="000223F6">
      <w:pPr>
        <w:pStyle w:val="ListParagraph"/>
        <w:numPr>
          <w:ilvl w:val="2"/>
          <w:numId w:val="3"/>
        </w:numPr>
        <w:jc w:val="both"/>
        <w:rPr>
          <w:rFonts w:ascii="Arial" w:hAnsi="Arial" w:cs="Arial"/>
          <w:b/>
          <w:bCs/>
        </w:rPr>
      </w:pPr>
      <w:r w:rsidRPr="00535EBB">
        <w:rPr>
          <w:rFonts w:ascii="Arial" w:hAnsi="Arial" w:cs="Arial"/>
        </w:rPr>
        <w:t xml:space="preserve">The wife, a licensed realtor, testified to the value of the home based on </w:t>
      </w:r>
      <w:r w:rsidRPr="00535EBB">
        <w:rPr>
          <w:rFonts w:ascii="Arial" w:hAnsi="Arial" w:cs="Arial"/>
          <w:b/>
          <w:bCs/>
        </w:rPr>
        <w:t>two appraisals that were not admitted into evidence</w:t>
      </w:r>
      <w:r w:rsidRPr="00535EBB">
        <w:rPr>
          <w:rFonts w:ascii="Arial" w:hAnsi="Arial" w:cs="Arial"/>
        </w:rPr>
        <w:t xml:space="preserve">. The husband did not present evidence of the home’s current value, but instead, </w:t>
      </w:r>
      <w:r w:rsidRPr="00535EBB">
        <w:rPr>
          <w:rFonts w:ascii="Arial" w:hAnsi="Arial" w:cs="Arial"/>
          <w:b/>
          <w:bCs/>
        </w:rPr>
        <w:t>introduced evidence establishing that the home cost $5 million to build.</w:t>
      </w:r>
    </w:p>
    <w:p w14:paraId="20D1DEC8" w14:textId="77777777" w:rsidR="000223F6" w:rsidRPr="00535EBB" w:rsidRDefault="000223F6" w:rsidP="000223F6">
      <w:pPr>
        <w:pStyle w:val="ListParagraph"/>
        <w:numPr>
          <w:ilvl w:val="2"/>
          <w:numId w:val="3"/>
        </w:numPr>
        <w:jc w:val="both"/>
        <w:rPr>
          <w:rFonts w:ascii="Arial" w:hAnsi="Arial" w:cs="Arial"/>
        </w:rPr>
      </w:pPr>
      <w:r w:rsidRPr="00535EBB">
        <w:rPr>
          <w:rFonts w:ascii="Arial" w:hAnsi="Arial" w:cs="Arial"/>
        </w:rPr>
        <w:t xml:space="preserve">The trial court </w:t>
      </w:r>
      <w:r w:rsidRPr="00535EBB">
        <w:rPr>
          <w:rFonts w:ascii="Arial" w:hAnsi="Arial" w:cs="Arial"/>
          <w:b/>
          <w:bCs/>
        </w:rPr>
        <w:t>valued the marital home at $5 million</w:t>
      </w:r>
      <w:r w:rsidRPr="00535EBB">
        <w:rPr>
          <w:rFonts w:ascii="Arial" w:hAnsi="Arial" w:cs="Arial"/>
        </w:rPr>
        <w:t>.</w:t>
      </w:r>
    </w:p>
    <w:p w14:paraId="2E5C676A" w14:textId="77777777" w:rsidR="000223F6" w:rsidRPr="00535EBB" w:rsidRDefault="000223F6" w:rsidP="000223F6">
      <w:pPr>
        <w:pStyle w:val="ListParagraph"/>
        <w:numPr>
          <w:ilvl w:val="2"/>
          <w:numId w:val="3"/>
        </w:numPr>
        <w:jc w:val="both"/>
        <w:rPr>
          <w:rFonts w:ascii="Arial" w:hAnsi="Arial" w:cs="Arial"/>
        </w:rPr>
      </w:pPr>
      <w:r w:rsidRPr="00535EBB">
        <w:rPr>
          <w:rFonts w:ascii="Arial" w:hAnsi="Arial" w:cs="Arial"/>
        </w:rPr>
        <w:t>The wife argued the trial court erred in adopting the cost basis rather than her market-value opinion.</w:t>
      </w:r>
    </w:p>
    <w:p w14:paraId="29F80F4C" w14:textId="77777777" w:rsidR="000223F6" w:rsidRPr="00162C0E" w:rsidRDefault="000223F6" w:rsidP="000223F6">
      <w:pPr>
        <w:pStyle w:val="ListParagraph"/>
        <w:numPr>
          <w:ilvl w:val="1"/>
          <w:numId w:val="3"/>
        </w:numPr>
        <w:jc w:val="both"/>
        <w:rPr>
          <w:rFonts w:ascii="Arial" w:hAnsi="Arial" w:cs="Arial"/>
        </w:rPr>
      </w:pPr>
      <w:r w:rsidRPr="00162C0E">
        <w:rPr>
          <w:rFonts w:ascii="Arial" w:hAnsi="Arial" w:cs="Arial"/>
        </w:rPr>
        <w:t>Valuation of the marital business interest</w:t>
      </w:r>
    </w:p>
    <w:p w14:paraId="2C6F9C85" w14:textId="77777777" w:rsidR="000223F6" w:rsidRPr="00162C0E" w:rsidRDefault="000223F6" w:rsidP="000223F6">
      <w:pPr>
        <w:pStyle w:val="ListParagraph"/>
        <w:numPr>
          <w:ilvl w:val="2"/>
          <w:numId w:val="3"/>
        </w:numPr>
        <w:jc w:val="both"/>
        <w:rPr>
          <w:rFonts w:ascii="Arial" w:hAnsi="Arial" w:cs="Arial"/>
        </w:rPr>
      </w:pPr>
      <w:r w:rsidRPr="00162C0E">
        <w:rPr>
          <w:rFonts w:ascii="Arial" w:hAnsi="Arial" w:cs="Arial"/>
        </w:rPr>
        <w:t>The parties stipulated that the husband owned 22.35% of the business but disagreed on its value.</w:t>
      </w:r>
    </w:p>
    <w:p w14:paraId="50D45FD9" w14:textId="77777777" w:rsidR="000223F6" w:rsidRPr="00162C0E" w:rsidRDefault="000223F6" w:rsidP="000223F6">
      <w:pPr>
        <w:pStyle w:val="ListParagraph"/>
        <w:numPr>
          <w:ilvl w:val="2"/>
          <w:numId w:val="3"/>
        </w:numPr>
        <w:jc w:val="both"/>
        <w:rPr>
          <w:rFonts w:ascii="Arial" w:hAnsi="Arial" w:cs="Arial"/>
        </w:rPr>
      </w:pPr>
      <w:r w:rsidRPr="00162C0E">
        <w:rPr>
          <w:rFonts w:ascii="Arial" w:hAnsi="Arial" w:cs="Arial"/>
        </w:rPr>
        <w:lastRenderedPageBreak/>
        <w:t>Each party presented experts with different valuations, which stemmed from whether the city’s semi-annual payments to the business would rise over time if property values increased.</w:t>
      </w:r>
    </w:p>
    <w:p w14:paraId="7E6DF73F" w14:textId="77777777" w:rsidR="000223F6" w:rsidRPr="00162C0E" w:rsidRDefault="000223F6" w:rsidP="000223F6">
      <w:pPr>
        <w:pStyle w:val="ListParagraph"/>
        <w:numPr>
          <w:ilvl w:val="0"/>
          <w:numId w:val="3"/>
        </w:numPr>
        <w:jc w:val="both"/>
        <w:rPr>
          <w:rFonts w:ascii="Arial" w:hAnsi="Arial" w:cs="Arial"/>
        </w:rPr>
      </w:pPr>
      <w:r w:rsidRPr="00162C0E">
        <w:rPr>
          <w:rFonts w:ascii="Arial" w:hAnsi="Arial" w:cs="Arial"/>
        </w:rPr>
        <w:t xml:space="preserve">Holding/Reasoning </w:t>
      </w:r>
    </w:p>
    <w:p w14:paraId="5BB32FE9" w14:textId="77777777" w:rsidR="000223F6" w:rsidRPr="00535EBB" w:rsidRDefault="000223F6" w:rsidP="000223F6">
      <w:pPr>
        <w:pStyle w:val="ListParagraph"/>
        <w:numPr>
          <w:ilvl w:val="1"/>
          <w:numId w:val="3"/>
        </w:numPr>
        <w:jc w:val="both"/>
        <w:rPr>
          <w:rFonts w:ascii="Arial" w:hAnsi="Arial" w:cs="Arial"/>
        </w:rPr>
      </w:pPr>
      <w:r w:rsidRPr="00535EBB">
        <w:rPr>
          <w:rFonts w:ascii="Arial" w:hAnsi="Arial" w:cs="Arial"/>
        </w:rPr>
        <w:t xml:space="preserve">Valuation of the marital home </w:t>
      </w:r>
    </w:p>
    <w:p w14:paraId="0441D996" w14:textId="77777777" w:rsidR="000223F6" w:rsidRPr="00535EBB" w:rsidRDefault="000223F6" w:rsidP="000223F6">
      <w:pPr>
        <w:pStyle w:val="ListParagraph"/>
        <w:numPr>
          <w:ilvl w:val="2"/>
          <w:numId w:val="3"/>
        </w:numPr>
        <w:jc w:val="both"/>
        <w:rPr>
          <w:rFonts w:ascii="Arial" w:hAnsi="Arial" w:cs="Arial"/>
        </w:rPr>
      </w:pPr>
      <w:r w:rsidRPr="00535EBB">
        <w:rPr>
          <w:rFonts w:ascii="Arial" w:hAnsi="Arial" w:cs="Arial"/>
        </w:rPr>
        <w:t xml:space="preserve">The court found the </w:t>
      </w:r>
      <w:r w:rsidRPr="00535EBB">
        <w:rPr>
          <w:rFonts w:ascii="Arial" w:hAnsi="Arial" w:cs="Arial"/>
          <w:b/>
          <w:bCs/>
        </w:rPr>
        <w:t>trial court’s valuation determination to be an abuse of discretion and that no evidentiary support was used to determine the fair market value of the home</w:t>
      </w:r>
      <w:r w:rsidRPr="00535EBB">
        <w:rPr>
          <w:rFonts w:ascii="Arial" w:hAnsi="Arial" w:cs="Arial"/>
        </w:rPr>
        <w:t xml:space="preserve"> was $5 million. </w:t>
      </w:r>
    </w:p>
    <w:p w14:paraId="6D44FE18" w14:textId="77777777" w:rsidR="000223F6" w:rsidRPr="00162C0E" w:rsidRDefault="000223F6" w:rsidP="000223F6">
      <w:pPr>
        <w:pStyle w:val="ListParagraph"/>
        <w:numPr>
          <w:ilvl w:val="1"/>
          <w:numId w:val="3"/>
        </w:numPr>
        <w:jc w:val="both"/>
        <w:rPr>
          <w:rFonts w:ascii="Arial" w:hAnsi="Arial" w:cs="Arial"/>
        </w:rPr>
      </w:pPr>
      <w:r w:rsidRPr="00162C0E">
        <w:rPr>
          <w:rFonts w:ascii="Arial" w:hAnsi="Arial" w:cs="Arial"/>
        </w:rPr>
        <w:t>Valuation of the marital business interest</w:t>
      </w:r>
    </w:p>
    <w:p w14:paraId="0AD4DE2D" w14:textId="77777777" w:rsidR="000223F6" w:rsidRPr="00162C0E" w:rsidRDefault="000223F6" w:rsidP="000223F6">
      <w:pPr>
        <w:pStyle w:val="ListParagraph"/>
        <w:numPr>
          <w:ilvl w:val="2"/>
          <w:numId w:val="3"/>
        </w:numPr>
        <w:jc w:val="both"/>
        <w:rPr>
          <w:rFonts w:ascii="Arial" w:hAnsi="Arial" w:cs="Arial"/>
        </w:rPr>
      </w:pPr>
      <w:r w:rsidRPr="00162C0E">
        <w:rPr>
          <w:rFonts w:ascii="Arial" w:hAnsi="Arial" w:cs="Arial"/>
        </w:rPr>
        <w:t>The court found the trial court abused its discretion in basing its valuation of the husband’s interest on a finding that the city’s payments could not increase over time as property values increase.</w:t>
      </w:r>
    </w:p>
    <w:p w14:paraId="3E06320F" w14:textId="5C93BA35" w:rsidR="000223F6" w:rsidRPr="00162C0E" w:rsidRDefault="000223F6" w:rsidP="000223F6">
      <w:pPr>
        <w:pStyle w:val="ListParagraph"/>
        <w:numPr>
          <w:ilvl w:val="2"/>
          <w:numId w:val="3"/>
        </w:numPr>
        <w:jc w:val="both"/>
        <w:rPr>
          <w:rFonts w:ascii="Arial" w:hAnsi="Arial" w:cs="Arial"/>
        </w:rPr>
      </w:pPr>
      <w:r w:rsidRPr="00162C0E">
        <w:rPr>
          <w:rFonts w:ascii="Arial" w:hAnsi="Arial" w:cs="Arial"/>
        </w:rPr>
        <w:t>The court also found that “given the revenue generated from the property owners’ service payments likely would rise over time, the pool of money available for the city to repay [the business] also likely would increase.”</w:t>
      </w:r>
    </w:p>
    <w:p w14:paraId="651E64CE" w14:textId="77777777" w:rsidR="00B25274" w:rsidRPr="00535EBB" w:rsidRDefault="00B25274" w:rsidP="00C92B12">
      <w:pPr>
        <w:jc w:val="both"/>
        <w:rPr>
          <w:rFonts w:ascii="Arial" w:hAnsi="Arial" w:cs="Arial"/>
          <w:b/>
          <w:bCs/>
          <w:u w:val="single"/>
        </w:rPr>
      </w:pPr>
    </w:p>
    <w:p w14:paraId="1E3F76E8" w14:textId="77777777" w:rsidR="000F190C" w:rsidRPr="00535EBB" w:rsidRDefault="000F190C" w:rsidP="00C92B12">
      <w:pPr>
        <w:jc w:val="both"/>
        <w:rPr>
          <w:rFonts w:ascii="Arial" w:hAnsi="Arial" w:cs="Arial"/>
          <w:b/>
          <w:bCs/>
          <w:u w:val="single"/>
        </w:rPr>
      </w:pPr>
    </w:p>
    <w:p w14:paraId="08AEE716" w14:textId="54A3C37B" w:rsidR="009D75DA" w:rsidRPr="00535EBB" w:rsidRDefault="007C1192" w:rsidP="002601E2">
      <w:pPr>
        <w:pStyle w:val="Heading1"/>
      </w:pPr>
      <w:bookmarkStart w:id="2" w:name="_Toc210808981"/>
      <w:r w:rsidRPr="00535EBB">
        <w:t>Vocational Evaluations</w:t>
      </w:r>
      <w:bookmarkEnd w:id="2"/>
      <w:r w:rsidRPr="00535EBB">
        <w:t xml:space="preserve"> </w:t>
      </w:r>
    </w:p>
    <w:p w14:paraId="0E2DE85F" w14:textId="427C2161" w:rsidR="007B55D4" w:rsidRPr="00535EBB" w:rsidRDefault="007B55D4" w:rsidP="00C92B12">
      <w:pPr>
        <w:jc w:val="both"/>
        <w:rPr>
          <w:rFonts w:ascii="Arial" w:hAnsi="Arial" w:cs="Arial"/>
        </w:rPr>
      </w:pPr>
      <w:proofErr w:type="spellStart"/>
      <w:r w:rsidRPr="00535EBB">
        <w:rPr>
          <w:rFonts w:ascii="Arial" w:hAnsi="Arial" w:cs="Arial"/>
          <w:b/>
          <w:bCs/>
          <w:i/>
          <w:iCs/>
        </w:rPr>
        <w:lastRenderedPageBreak/>
        <w:t>Baronzzi</w:t>
      </w:r>
      <w:proofErr w:type="spellEnd"/>
      <w:r w:rsidRPr="00535EBB">
        <w:rPr>
          <w:rFonts w:ascii="Arial" w:hAnsi="Arial" w:cs="Arial"/>
          <w:b/>
          <w:bCs/>
          <w:i/>
          <w:iCs/>
        </w:rPr>
        <w:t xml:space="preserve"> v. Gamble</w:t>
      </w:r>
      <w:r w:rsidRPr="00535EBB">
        <w:rPr>
          <w:rFonts w:ascii="Arial" w:hAnsi="Arial" w:cs="Arial"/>
          <w:b/>
          <w:bCs/>
        </w:rPr>
        <w:t>, 2024-Ohio-154 (7th Dist.).</w:t>
      </w:r>
      <w:r w:rsidRPr="00535EBB">
        <w:rPr>
          <w:rFonts w:ascii="Arial" w:hAnsi="Arial" w:cs="Arial"/>
        </w:rPr>
        <w:t xml:space="preserve"> – </w:t>
      </w:r>
      <w:r w:rsidR="00115F92" w:rsidRPr="00535EBB">
        <w:rPr>
          <w:rFonts w:ascii="Arial" w:hAnsi="Arial" w:cs="Arial"/>
        </w:rPr>
        <w:t xml:space="preserve">The trial court was correct in denying the wife’s request for the husband to submit to a vocational evaluation because she provided no </w:t>
      </w:r>
      <w:r w:rsidR="009614DD" w:rsidRPr="00535EBB">
        <w:rPr>
          <w:rFonts w:ascii="Arial" w:hAnsi="Arial" w:cs="Arial"/>
        </w:rPr>
        <w:t xml:space="preserve">sufficient basis </w:t>
      </w:r>
      <w:r w:rsidR="00FB15E6" w:rsidRPr="00535EBB">
        <w:rPr>
          <w:rFonts w:ascii="Arial" w:hAnsi="Arial" w:cs="Arial"/>
        </w:rPr>
        <w:t xml:space="preserve">for ordering the evaluation. The court also found that </w:t>
      </w:r>
      <w:r w:rsidR="00E72C40" w:rsidRPr="00535EBB">
        <w:rPr>
          <w:rFonts w:ascii="Arial" w:hAnsi="Arial" w:cs="Arial"/>
        </w:rPr>
        <w:t xml:space="preserve">the vocational </w:t>
      </w:r>
      <w:r w:rsidR="00765180" w:rsidRPr="00535EBB">
        <w:rPr>
          <w:rFonts w:ascii="Arial" w:hAnsi="Arial" w:cs="Arial"/>
        </w:rPr>
        <w:t>assessment</w:t>
      </w:r>
      <w:r w:rsidR="00E72C40" w:rsidRPr="00535EBB">
        <w:rPr>
          <w:rFonts w:ascii="Arial" w:hAnsi="Arial" w:cs="Arial"/>
        </w:rPr>
        <w:t xml:space="preserve"> would not have provided </w:t>
      </w:r>
      <w:r w:rsidR="00DD3ED3" w:rsidRPr="00535EBB">
        <w:rPr>
          <w:rFonts w:ascii="Arial" w:hAnsi="Arial" w:cs="Arial"/>
        </w:rPr>
        <w:t>useful or relevant information for the case.</w:t>
      </w:r>
    </w:p>
    <w:p w14:paraId="6B093C69" w14:textId="72640158" w:rsidR="007B55D4" w:rsidRPr="00535EBB" w:rsidRDefault="007B55D4" w:rsidP="007B55D4">
      <w:pPr>
        <w:pStyle w:val="ListParagraph"/>
        <w:numPr>
          <w:ilvl w:val="0"/>
          <w:numId w:val="6"/>
        </w:numPr>
        <w:jc w:val="both"/>
        <w:rPr>
          <w:rFonts w:ascii="Arial" w:hAnsi="Arial" w:cs="Arial"/>
        </w:rPr>
      </w:pPr>
      <w:r w:rsidRPr="00535EBB">
        <w:rPr>
          <w:rFonts w:ascii="Arial" w:hAnsi="Arial" w:cs="Arial"/>
        </w:rPr>
        <w:t xml:space="preserve">Facts </w:t>
      </w:r>
    </w:p>
    <w:p w14:paraId="379769BC" w14:textId="15241FB2" w:rsidR="001A15D0" w:rsidRPr="00535EBB" w:rsidRDefault="00763D3C" w:rsidP="001A15D0">
      <w:pPr>
        <w:pStyle w:val="ListParagraph"/>
        <w:numPr>
          <w:ilvl w:val="1"/>
          <w:numId w:val="6"/>
        </w:numPr>
        <w:jc w:val="both"/>
        <w:rPr>
          <w:rFonts w:ascii="Arial" w:hAnsi="Arial" w:cs="Arial"/>
        </w:rPr>
      </w:pPr>
      <w:r w:rsidRPr="00535EBB">
        <w:rPr>
          <w:rFonts w:ascii="Arial" w:hAnsi="Arial" w:cs="Arial"/>
        </w:rPr>
        <w:t>The trial court originally awarded the wife $3</w:t>
      </w:r>
      <w:r w:rsidR="00370971" w:rsidRPr="00535EBB">
        <w:rPr>
          <w:rFonts w:ascii="Arial" w:hAnsi="Arial" w:cs="Arial"/>
        </w:rPr>
        <w:t>,300/month in spousal support (husband earned $130,000/year and wife</w:t>
      </w:r>
      <w:r w:rsidR="002A6009" w:rsidRPr="00535EBB">
        <w:rPr>
          <w:rFonts w:ascii="Arial" w:hAnsi="Arial" w:cs="Arial"/>
        </w:rPr>
        <w:t xml:space="preserve"> never</w:t>
      </w:r>
      <w:r w:rsidR="00370971" w:rsidRPr="00535EBB">
        <w:rPr>
          <w:rFonts w:ascii="Arial" w:hAnsi="Arial" w:cs="Arial"/>
        </w:rPr>
        <w:t xml:space="preserve"> earned $12,000</w:t>
      </w:r>
      <w:r w:rsidR="002A6009" w:rsidRPr="00535EBB">
        <w:rPr>
          <w:rFonts w:ascii="Arial" w:hAnsi="Arial" w:cs="Arial"/>
        </w:rPr>
        <w:t>/year during the marriage)</w:t>
      </w:r>
    </w:p>
    <w:p w14:paraId="3674E707" w14:textId="7038664C" w:rsidR="002A6009" w:rsidRPr="00535EBB" w:rsidRDefault="002A6009" w:rsidP="001A15D0">
      <w:pPr>
        <w:pStyle w:val="ListParagraph"/>
        <w:numPr>
          <w:ilvl w:val="1"/>
          <w:numId w:val="6"/>
        </w:numPr>
        <w:jc w:val="both"/>
        <w:rPr>
          <w:rFonts w:ascii="Arial" w:hAnsi="Arial" w:cs="Arial"/>
        </w:rPr>
      </w:pPr>
      <w:r w:rsidRPr="00535EBB">
        <w:rPr>
          <w:rFonts w:ascii="Arial" w:hAnsi="Arial" w:cs="Arial"/>
        </w:rPr>
        <w:t xml:space="preserve">The husband moved to terminate or modify </w:t>
      </w:r>
      <w:r w:rsidR="001F1EDF" w:rsidRPr="00535EBB">
        <w:rPr>
          <w:rFonts w:ascii="Arial" w:hAnsi="Arial" w:cs="Arial"/>
        </w:rPr>
        <w:t xml:space="preserve">his spousal support obligation based on an anticipated change in income due to his retirement. The trial court denied the husband’s motion, finding </w:t>
      </w:r>
      <w:r w:rsidR="00F10D75" w:rsidRPr="00535EBB">
        <w:rPr>
          <w:rFonts w:ascii="Arial" w:hAnsi="Arial" w:cs="Arial"/>
        </w:rPr>
        <w:t>that his motion was premature.</w:t>
      </w:r>
    </w:p>
    <w:p w14:paraId="6BA086B0" w14:textId="591E9EC7" w:rsidR="00F10D75" w:rsidRPr="00535EBB" w:rsidRDefault="00F10D75" w:rsidP="001A15D0">
      <w:pPr>
        <w:pStyle w:val="ListParagraph"/>
        <w:numPr>
          <w:ilvl w:val="1"/>
          <w:numId w:val="6"/>
        </w:numPr>
        <w:jc w:val="both"/>
        <w:rPr>
          <w:rFonts w:ascii="Arial" w:hAnsi="Arial" w:cs="Arial"/>
        </w:rPr>
      </w:pPr>
      <w:r w:rsidRPr="00535EBB">
        <w:rPr>
          <w:rFonts w:ascii="Arial" w:hAnsi="Arial" w:cs="Arial"/>
        </w:rPr>
        <w:t xml:space="preserve">The </w:t>
      </w:r>
      <w:r w:rsidRPr="00535EBB">
        <w:rPr>
          <w:rFonts w:ascii="Arial" w:hAnsi="Arial" w:cs="Arial"/>
          <w:b/>
          <w:bCs/>
        </w:rPr>
        <w:t xml:space="preserve">husband filed a second motion to terminate or </w:t>
      </w:r>
      <w:r w:rsidR="00A827EB" w:rsidRPr="00535EBB">
        <w:rPr>
          <w:rFonts w:ascii="Arial" w:hAnsi="Arial" w:cs="Arial"/>
          <w:b/>
          <w:bCs/>
        </w:rPr>
        <w:t xml:space="preserve">reduce spousal support, </w:t>
      </w:r>
      <w:r w:rsidR="00152DAE" w:rsidRPr="00535EBB">
        <w:rPr>
          <w:rFonts w:ascii="Arial" w:hAnsi="Arial" w:cs="Arial"/>
          <w:b/>
          <w:bCs/>
        </w:rPr>
        <w:t>citing</w:t>
      </w:r>
      <w:r w:rsidR="00A827EB" w:rsidRPr="00535EBB">
        <w:rPr>
          <w:rFonts w:ascii="Arial" w:hAnsi="Arial" w:cs="Arial"/>
          <w:b/>
          <w:bCs/>
        </w:rPr>
        <w:t xml:space="preserve"> that he is now retired</w:t>
      </w:r>
      <w:r w:rsidR="00A827EB" w:rsidRPr="00535EBB">
        <w:rPr>
          <w:rFonts w:ascii="Arial" w:hAnsi="Arial" w:cs="Arial"/>
        </w:rPr>
        <w:t xml:space="preserve"> and is receiving retirement benefits</w:t>
      </w:r>
      <w:r w:rsidR="00152DAE" w:rsidRPr="00535EBB">
        <w:rPr>
          <w:rFonts w:ascii="Arial" w:hAnsi="Arial" w:cs="Arial"/>
        </w:rPr>
        <w:t>, in which the wife receives half</w:t>
      </w:r>
      <w:r w:rsidR="00A827EB" w:rsidRPr="00535EBB">
        <w:rPr>
          <w:rFonts w:ascii="Arial" w:hAnsi="Arial" w:cs="Arial"/>
        </w:rPr>
        <w:t xml:space="preserve">. </w:t>
      </w:r>
      <w:r w:rsidR="00956686" w:rsidRPr="00535EBB">
        <w:rPr>
          <w:rFonts w:ascii="Arial" w:hAnsi="Arial" w:cs="Arial"/>
        </w:rPr>
        <w:t xml:space="preserve">Even though the husband was retired, he continued to work two </w:t>
      </w:r>
      <w:r w:rsidR="00152DAE" w:rsidRPr="00535EBB">
        <w:rPr>
          <w:rFonts w:ascii="Arial" w:hAnsi="Arial" w:cs="Arial"/>
        </w:rPr>
        <w:t>jobs.</w:t>
      </w:r>
    </w:p>
    <w:p w14:paraId="5B9CDB87" w14:textId="7CA3F67F" w:rsidR="00A827EB" w:rsidRPr="00535EBB" w:rsidRDefault="00A827EB" w:rsidP="001A15D0">
      <w:pPr>
        <w:pStyle w:val="ListParagraph"/>
        <w:numPr>
          <w:ilvl w:val="1"/>
          <w:numId w:val="6"/>
        </w:numPr>
        <w:jc w:val="both"/>
        <w:rPr>
          <w:rFonts w:ascii="Arial" w:hAnsi="Arial" w:cs="Arial"/>
        </w:rPr>
      </w:pPr>
      <w:r w:rsidRPr="00535EBB">
        <w:rPr>
          <w:rFonts w:ascii="Arial" w:hAnsi="Arial" w:cs="Arial"/>
        </w:rPr>
        <w:t xml:space="preserve">The </w:t>
      </w:r>
      <w:r w:rsidRPr="00535EBB">
        <w:rPr>
          <w:rFonts w:ascii="Arial" w:hAnsi="Arial" w:cs="Arial"/>
          <w:b/>
          <w:bCs/>
        </w:rPr>
        <w:t xml:space="preserve">wife </w:t>
      </w:r>
      <w:r w:rsidR="00DA4D34" w:rsidRPr="00535EBB">
        <w:rPr>
          <w:rFonts w:ascii="Arial" w:hAnsi="Arial" w:cs="Arial"/>
          <w:b/>
          <w:bCs/>
        </w:rPr>
        <w:t xml:space="preserve">requested </w:t>
      </w:r>
      <w:r w:rsidR="00152DAE" w:rsidRPr="00535EBB">
        <w:rPr>
          <w:rFonts w:ascii="Arial" w:hAnsi="Arial" w:cs="Arial"/>
          <w:b/>
          <w:bCs/>
        </w:rPr>
        <w:t xml:space="preserve">that </w:t>
      </w:r>
      <w:r w:rsidR="00DA4D34" w:rsidRPr="00535EBB">
        <w:rPr>
          <w:rFonts w:ascii="Arial" w:hAnsi="Arial" w:cs="Arial"/>
          <w:b/>
          <w:bCs/>
        </w:rPr>
        <w:t>the court order the husband to submit to a vocational evaluation, stating it would “benefit” her case</w:t>
      </w:r>
      <w:r w:rsidR="00C02A90" w:rsidRPr="00535EBB">
        <w:rPr>
          <w:rFonts w:ascii="Arial" w:hAnsi="Arial" w:cs="Arial"/>
          <w:b/>
          <w:bCs/>
        </w:rPr>
        <w:t xml:space="preserve"> and provide the court </w:t>
      </w:r>
      <w:r w:rsidR="00C02A90" w:rsidRPr="00535EBB">
        <w:rPr>
          <w:rFonts w:ascii="Arial" w:hAnsi="Arial" w:cs="Arial"/>
          <w:b/>
          <w:bCs/>
        </w:rPr>
        <w:lastRenderedPageBreak/>
        <w:t>with clarity as to the husband’s earning potential.</w:t>
      </w:r>
      <w:r w:rsidR="00C02A90" w:rsidRPr="00535EBB">
        <w:rPr>
          <w:rFonts w:ascii="Arial" w:hAnsi="Arial" w:cs="Arial"/>
        </w:rPr>
        <w:t xml:space="preserve"> </w:t>
      </w:r>
      <w:r w:rsidR="008809ED" w:rsidRPr="00535EBB">
        <w:rPr>
          <w:rFonts w:ascii="Arial" w:hAnsi="Arial" w:cs="Arial"/>
        </w:rPr>
        <w:t xml:space="preserve">The wife also argued that the husband’s wages were “out of line” with </w:t>
      </w:r>
      <w:r w:rsidR="005933A2" w:rsidRPr="00535EBB">
        <w:rPr>
          <w:rFonts w:ascii="Arial" w:hAnsi="Arial" w:cs="Arial"/>
        </w:rPr>
        <w:t>what was earned by his peers.</w:t>
      </w:r>
    </w:p>
    <w:p w14:paraId="33B947E5" w14:textId="02FABF82" w:rsidR="00956686" w:rsidRPr="00535EBB" w:rsidRDefault="00956686" w:rsidP="001A15D0">
      <w:pPr>
        <w:pStyle w:val="ListParagraph"/>
        <w:numPr>
          <w:ilvl w:val="1"/>
          <w:numId w:val="6"/>
        </w:numPr>
        <w:jc w:val="both"/>
        <w:rPr>
          <w:rFonts w:ascii="Arial" w:hAnsi="Arial" w:cs="Arial"/>
        </w:rPr>
      </w:pPr>
      <w:r w:rsidRPr="00535EBB">
        <w:rPr>
          <w:rFonts w:ascii="Arial" w:hAnsi="Arial" w:cs="Arial"/>
          <w:b/>
          <w:bCs/>
        </w:rPr>
        <w:t xml:space="preserve">The </w:t>
      </w:r>
      <w:r w:rsidR="00152DAE" w:rsidRPr="00535EBB">
        <w:rPr>
          <w:rFonts w:ascii="Arial" w:hAnsi="Arial" w:cs="Arial"/>
          <w:b/>
          <w:bCs/>
        </w:rPr>
        <w:t xml:space="preserve">trial </w:t>
      </w:r>
      <w:r w:rsidRPr="00535EBB">
        <w:rPr>
          <w:rFonts w:ascii="Arial" w:hAnsi="Arial" w:cs="Arial"/>
          <w:b/>
          <w:bCs/>
        </w:rPr>
        <w:t>court denied the wife’s motion for a vocational evaluation without comment</w:t>
      </w:r>
      <w:r w:rsidRPr="00535EBB">
        <w:rPr>
          <w:rFonts w:ascii="Arial" w:hAnsi="Arial" w:cs="Arial"/>
        </w:rPr>
        <w:t xml:space="preserve"> and </w:t>
      </w:r>
      <w:r w:rsidR="00152DAE" w:rsidRPr="00535EBB">
        <w:rPr>
          <w:rFonts w:ascii="Arial" w:hAnsi="Arial" w:cs="Arial"/>
        </w:rPr>
        <w:t xml:space="preserve">reduced the wife’s spousal support to $800/month. The trial court based its ruling on the fact that </w:t>
      </w:r>
      <w:r w:rsidR="00AB1B36" w:rsidRPr="00535EBB">
        <w:rPr>
          <w:rFonts w:ascii="Arial" w:hAnsi="Arial" w:cs="Arial"/>
        </w:rPr>
        <w:t xml:space="preserve">the husband grossed </w:t>
      </w:r>
      <w:r w:rsidR="00D854EF" w:rsidRPr="00535EBB">
        <w:rPr>
          <w:rFonts w:ascii="Arial" w:hAnsi="Arial" w:cs="Arial"/>
        </w:rPr>
        <w:t>$92,00</w:t>
      </w:r>
      <w:r w:rsidR="00AB1B36" w:rsidRPr="00535EBB">
        <w:rPr>
          <w:rFonts w:ascii="Arial" w:hAnsi="Arial" w:cs="Arial"/>
        </w:rPr>
        <w:t xml:space="preserve"> from his two jobs </w:t>
      </w:r>
      <w:r w:rsidR="00D854EF" w:rsidRPr="00535EBB">
        <w:rPr>
          <w:rFonts w:ascii="Arial" w:hAnsi="Arial" w:cs="Arial"/>
        </w:rPr>
        <w:t>and</w:t>
      </w:r>
      <w:r w:rsidR="0057626A" w:rsidRPr="00535EBB">
        <w:rPr>
          <w:rFonts w:ascii="Arial" w:hAnsi="Arial" w:cs="Arial"/>
        </w:rPr>
        <w:t xml:space="preserve"> retirement. The wife also </w:t>
      </w:r>
      <w:r w:rsidR="00D854EF" w:rsidRPr="00535EBB">
        <w:rPr>
          <w:rFonts w:ascii="Arial" w:hAnsi="Arial" w:cs="Arial"/>
        </w:rPr>
        <w:t>grossed $</w:t>
      </w:r>
      <w:r w:rsidR="00CF7DED" w:rsidRPr="00535EBB">
        <w:rPr>
          <w:rFonts w:ascii="Arial" w:hAnsi="Arial" w:cs="Arial"/>
        </w:rPr>
        <w:t xml:space="preserve">51,000 from a portion of the husband’s pension, her part-time employment, and social security disability. </w:t>
      </w:r>
    </w:p>
    <w:p w14:paraId="262AAA81" w14:textId="4462B59C" w:rsidR="007B55D4" w:rsidRPr="00535EBB" w:rsidRDefault="001A15D0" w:rsidP="007B55D4">
      <w:pPr>
        <w:pStyle w:val="ListParagraph"/>
        <w:numPr>
          <w:ilvl w:val="0"/>
          <w:numId w:val="6"/>
        </w:numPr>
        <w:jc w:val="both"/>
        <w:rPr>
          <w:rFonts w:ascii="Arial" w:hAnsi="Arial" w:cs="Arial"/>
        </w:rPr>
      </w:pPr>
      <w:r w:rsidRPr="00535EBB">
        <w:rPr>
          <w:rFonts w:ascii="Arial" w:hAnsi="Arial" w:cs="Arial"/>
        </w:rPr>
        <w:t xml:space="preserve">Holding </w:t>
      </w:r>
    </w:p>
    <w:p w14:paraId="00D326BE" w14:textId="6F970983" w:rsidR="00A148E7" w:rsidRPr="00535EBB" w:rsidRDefault="00A148E7" w:rsidP="001A15D0">
      <w:pPr>
        <w:pStyle w:val="ListParagraph"/>
        <w:numPr>
          <w:ilvl w:val="1"/>
          <w:numId w:val="6"/>
        </w:numPr>
        <w:jc w:val="both"/>
        <w:rPr>
          <w:rFonts w:ascii="Arial" w:hAnsi="Arial" w:cs="Arial"/>
        </w:rPr>
      </w:pPr>
      <w:r w:rsidRPr="00535EBB">
        <w:rPr>
          <w:rFonts w:ascii="Arial" w:hAnsi="Arial" w:cs="Arial"/>
          <w:b/>
          <w:bCs/>
        </w:rPr>
        <w:t>The court did not find the trial court abused its discretion in denying the wife’s motion for a vocational evaluation of the husband</w:t>
      </w:r>
      <w:r w:rsidRPr="00535EBB">
        <w:rPr>
          <w:rFonts w:ascii="Arial" w:hAnsi="Arial" w:cs="Arial"/>
        </w:rPr>
        <w:t xml:space="preserve">. </w:t>
      </w:r>
    </w:p>
    <w:p w14:paraId="3A217C8B" w14:textId="77A144A3" w:rsidR="00A5049E" w:rsidRPr="00535EBB" w:rsidRDefault="005933A2" w:rsidP="001A15D0">
      <w:pPr>
        <w:pStyle w:val="ListParagraph"/>
        <w:numPr>
          <w:ilvl w:val="1"/>
          <w:numId w:val="6"/>
        </w:numPr>
        <w:jc w:val="both"/>
        <w:rPr>
          <w:rFonts w:ascii="Arial" w:hAnsi="Arial" w:cs="Arial"/>
        </w:rPr>
      </w:pPr>
      <w:r w:rsidRPr="00535EBB">
        <w:rPr>
          <w:rFonts w:ascii="Arial" w:hAnsi="Arial" w:cs="Arial"/>
        </w:rPr>
        <w:t xml:space="preserve">Though the court noted that the trial court denied the wife’s motion for a vocational evaluation without comment, it </w:t>
      </w:r>
      <w:r w:rsidR="001D7942" w:rsidRPr="00535EBB">
        <w:rPr>
          <w:rFonts w:ascii="Arial" w:hAnsi="Arial" w:cs="Arial"/>
        </w:rPr>
        <w:t xml:space="preserve">noted the </w:t>
      </w:r>
      <w:r w:rsidR="001D7942" w:rsidRPr="00535EBB">
        <w:rPr>
          <w:rFonts w:ascii="Arial" w:hAnsi="Arial" w:cs="Arial"/>
          <w:b/>
          <w:bCs/>
        </w:rPr>
        <w:t>trial court may have denied the motion</w:t>
      </w:r>
      <w:r w:rsidR="001D7942" w:rsidRPr="00535EBB">
        <w:rPr>
          <w:rFonts w:ascii="Arial" w:hAnsi="Arial" w:cs="Arial"/>
        </w:rPr>
        <w:t xml:space="preserve"> because </w:t>
      </w:r>
      <w:r w:rsidR="00CA43B1" w:rsidRPr="00535EBB">
        <w:rPr>
          <w:rFonts w:ascii="Arial" w:hAnsi="Arial" w:cs="Arial"/>
        </w:rPr>
        <w:t>despite knowing</w:t>
      </w:r>
      <w:r w:rsidR="00A5049E" w:rsidRPr="00535EBB">
        <w:rPr>
          <w:rFonts w:ascii="Arial" w:hAnsi="Arial" w:cs="Arial"/>
        </w:rPr>
        <w:t xml:space="preserve"> the husband requested a reduction of spousal support based on financial changes for more than a year, </w:t>
      </w:r>
      <w:r w:rsidR="00A5049E" w:rsidRPr="00535EBB">
        <w:rPr>
          <w:rFonts w:ascii="Arial" w:hAnsi="Arial" w:cs="Arial"/>
          <w:b/>
          <w:bCs/>
        </w:rPr>
        <w:t>she wa</w:t>
      </w:r>
      <w:r w:rsidR="001D7942" w:rsidRPr="00535EBB">
        <w:rPr>
          <w:rFonts w:ascii="Arial" w:hAnsi="Arial" w:cs="Arial"/>
          <w:b/>
          <w:bCs/>
        </w:rPr>
        <w:t>ited until one month before trial to request a vocational evaluation</w:t>
      </w:r>
      <w:r w:rsidR="008E6BD5" w:rsidRPr="00535EBB">
        <w:rPr>
          <w:rFonts w:ascii="Arial" w:hAnsi="Arial" w:cs="Arial"/>
        </w:rPr>
        <w:t xml:space="preserve">, which would have required a continuance of the hearing date. </w:t>
      </w:r>
    </w:p>
    <w:p w14:paraId="735D09E4" w14:textId="57805257" w:rsidR="001A15D0" w:rsidRPr="00535EBB" w:rsidRDefault="008E6BD5" w:rsidP="001A15D0">
      <w:pPr>
        <w:pStyle w:val="ListParagraph"/>
        <w:numPr>
          <w:ilvl w:val="1"/>
          <w:numId w:val="6"/>
        </w:numPr>
        <w:jc w:val="both"/>
        <w:rPr>
          <w:rFonts w:ascii="Arial" w:hAnsi="Arial" w:cs="Arial"/>
        </w:rPr>
      </w:pPr>
      <w:r w:rsidRPr="00535EBB">
        <w:rPr>
          <w:rFonts w:ascii="Arial" w:hAnsi="Arial" w:cs="Arial"/>
        </w:rPr>
        <w:t xml:space="preserve">The court also mentioned </w:t>
      </w:r>
      <w:r w:rsidR="00A5049E" w:rsidRPr="00535EBB">
        <w:rPr>
          <w:rFonts w:ascii="Arial" w:hAnsi="Arial" w:cs="Arial"/>
        </w:rPr>
        <w:t xml:space="preserve">that </w:t>
      </w:r>
      <w:r w:rsidRPr="00535EBB">
        <w:rPr>
          <w:rFonts w:ascii="Arial" w:hAnsi="Arial" w:cs="Arial"/>
        </w:rPr>
        <w:t xml:space="preserve">the </w:t>
      </w:r>
      <w:r w:rsidRPr="00535EBB">
        <w:rPr>
          <w:rFonts w:ascii="Arial" w:hAnsi="Arial" w:cs="Arial"/>
          <w:b/>
          <w:bCs/>
        </w:rPr>
        <w:t>trial court may have de</w:t>
      </w:r>
      <w:r w:rsidR="00237A5C" w:rsidRPr="00535EBB">
        <w:rPr>
          <w:rFonts w:ascii="Arial" w:hAnsi="Arial" w:cs="Arial"/>
          <w:b/>
          <w:bCs/>
        </w:rPr>
        <w:t xml:space="preserve">nied the </w:t>
      </w:r>
      <w:r w:rsidR="009D3975" w:rsidRPr="00535EBB">
        <w:rPr>
          <w:rFonts w:ascii="Arial" w:hAnsi="Arial" w:cs="Arial"/>
          <w:b/>
          <w:bCs/>
        </w:rPr>
        <w:t>motion</w:t>
      </w:r>
      <w:r w:rsidR="00237A5C" w:rsidRPr="00535EBB">
        <w:rPr>
          <w:rFonts w:ascii="Arial" w:hAnsi="Arial" w:cs="Arial"/>
          <w:b/>
          <w:bCs/>
        </w:rPr>
        <w:t xml:space="preserve"> based on a lack of specificity since the wife</w:t>
      </w:r>
      <w:r w:rsidR="00CB2B37" w:rsidRPr="00535EBB">
        <w:rPr>
          <w:rFonts w:ascii="Arial" w:hAnsi="Arial" w:cs="Arial"/>
          <w:b/>
          <w:bCs/>
        </w:rPr>
        <w:t xml:space="preserve"> premised her request for a vocational hearing based on a conclusory statement that the husband was </w:t>
      </w:r>
      <w:r w:rsidR="00CB2B37" w:rsidRPr="00535EBB">
        <w:rPr>
          <w:rFonts w:ascii="Arial" w:hAnsi="Arial" w:cs="Arial"/>
          <w:b/>
          <w:bCs/>
        </w:rPr>
        <w:lastRenderedPageBreak/>
        <w:t>voluntarily underemployed</w:t>
      </w:r>
      <w:r w:rsidR="00CB2B37" w:rsidRPr="00535EBB">
        <w:rPr>
          <w:rFonts w:ascii="Arial" w:hAnsi="Arial" w:cs="Arial"/>
        </w:rPr>
        <w:t xml:space="preserve"> </w:t>
      </w:r>
      <w:r w:rsidR="00666FE0" w:rsidRPr="00535EBB">
        <w:rPr>
          <w:rFonts w:ascii="Arial" w:hAnsi="Arial" w:cs="Arial"/>
        </w:rPr>
        <w:t>and that it would “benefit” her case and provide “clarity” to the court.</w:t>
      </w:r>
    </w:p>
    <w:p w14:paraId="4E23C8EC" w14:textId="76A1911D" w:rsidR="002601E2" w:rsidRPr="00535EBB" w:rsidRDefault="00666FE0" w:rsidP="002601E2">
      <w:pPr>
        <w:pStyle w:val="ListParagraph"/>
        <w:numPr>
          <w:ilvl w:val="1"/>
          <w:numId w:val="6"/>
        </w:numPr>
        <w:jc w:val="both"/>
        <w:rPr>
          <w:rFonts w:ascii="Arial" w:hAnsi="Arial" w:cs="Arial"/>
        </w:rPr>
      </w:pPr>
      <w:r w:rsidRPr="00535EBB">
        <w:rPr>
          <w:rFonts w:ascii="Arial" w:hAnsi="Arial" w:cs="Arial"/>
        </w:rPr>
        <w:t>The court also noted that</w:t>
      </w:r>
      <w:r w:rsidR="004C70D4" w:rsidRPr="00535EBB">
        <w:rPr>
          <w:rFonts w:ascii="Arial" w:hAnsi="Arial" w:cs="Arial"/>
        </w:rPr>
        <w:t>,</w:t>
      </w:r>
      <w:r w:rsidRPr="00535EBB">
        <w:rPr>
          <w:rFonts w:ascii="Arial" w:hAnsi="Arial" w:cs="Arial"/>
        </w:rPr>
        <w:t xml:space="preserve"> </w:t>
      </w:r>
      <w:r w:rsidR="00B5633B" w:rsidRPr="00535EBB">
        <w:rPr>
          <w:rFonts w:ascii="Arial" w:hAnsi="Arial" w:cs="Arial"/>
        </w:rPr>
        <w:t>despite retiring</w:t>
      </w:r>
      <w:r w:rsidR="004C70D4" w:rsidRPr="00535EBB">
        <w:rPr>
          <w:rFonts w:ascii="Arial" w:hAnsi="Arial" w:cs="Arial"/>
        </w:rPr>
        <w:t xml:space="preserve"> and receiving retirement benefits</w:t>
      </w:r>
      <w:r w:rsidR="00B5633B" w:rsidRPr="00535EBB">
        <w:rPr>
          <w:rFonts w:ascii="Arial" w:hAnsi="Arial" w:cs="Arial"/>
        </w:rPr>
        <w:t>, the husband continued to work two jobs</w:t>
      </w:r>
      <w:r w:rsidR="004C70D4" w:rsidRPr="00535EBB">
        <w:rPr>
          <w:rFonts w:ascii="Arial" w:hAnsi="Arial" w:cs="Arial"/>
        </w:rPr>
        <w:t xml:space="preserve">. The wife had also </w:t>
      </w:r>
      <w:r w:rsidR="005E31D3" w:rsidRPr="00535EBB">
        <w:rPr>
          <w:rFonts w:ascii="Arial" w:hAnsi="Arial" w:cs="Arial"/>
        </w:rPr>
        <w:t>received</w:t>
      </w:r>
      <w:r w:rsidR="004C70D4" w:rsidRPr="00535EBB">
        <w:rPr>
          <w:rFonts w:ascii="Arial" w:hAnsi="Arial" w:cs="Arial"/>
        </w:rPr>
        <w:t xml:space="preserve"> her share of the husband’s retirement. Based on these facts</w:t>
      </w:r>
      <w:r w:rsidR="005E31D3" w:rsidRPr="00535EBB">
        <w:rPr>
          <w:rFonts w:ascii="Arial" w:hAnsi="Arial" w:cs="Arial"/>
        </w:rPr>
        <w:t>, the court concluded that “no meaningful discovery would result from a vocational examination and would only result in delaying the proceedings.”</w:t>
      </w:r>
    </w:p>
    <w:p w14:paraId="1D79CBE9" w14:textId="77777777" w:rsidR="002601E2" w:rsidRPr="00535EBB" w:rsidRDefault="002601E2" w:rsidP="002601E2">
      <w:pPr>
        <w:pStyle w:val="ListParagraph"/>
        <w:ind w:left="1440"/>
        <w:jc w:val="both"/>
        <w:rPr>
          <w:rFonts w:ascii="Arial" w:hAnsi="Arial" w:cs="Arial"/>
        </w:rPr>
      </w:pPr>
    </w:p>
    <w:p w14:paraId="5D659F36" w14:textId="2AE2AE77" w:rsidR="002601E2" w:rsidRPr="00535EBB" w:rsidRDefault="002601E2" w:rsidP="002601E2">
      <w:pPr>
        <w:pStyle w:val="Heading1"/>
      </w:pPr>
      <w:bookmarkStart w:id="3" w:name="_Toc210808982"/>
      <w:r w:rsidRPr="00535EBB">
        <w:t>Custody Evaluations</w:t>
      </w:r>
      <w:bookmarkEnd w:id="3"/>
      <w:r w:rsidRPr="00535EBB">
        <w:t xml:space="preserve"> </w:t>
      </w:r>
    </w:p>
    <w:p w14:paraId="4F2C9390" w14:textId="09FCA93E" w:rsidR="002601E2" w:rsidRPr="00535EBB" w:rsidRDefault="00EB07F1" w:rsidP="00EF672F">
      <w:pPr>
        <w:jc w:val="both"/>
        <w:rPr>
          <w:rFonts w:ascii="Arial" w:hAnsi="Arial" w:cs="Arial"/>
        </w:rPr>
      </w:pPr>
      <w:r w:rsidRPr="00535EBB">
        <w:rPr>
          <w:rFonts w:ascii="Arial" w:hAnsi="Arial" w:cs="Arial"/>
          <w:b/>
          <w:bCs/>
          <w:i/>
          <w:iCs/>
        </w:rPr>
        <w:t>Edelstein v. Edelstein</w:t>
      </w:r>
      <w:r w:rsidR="00EF672F" w:rsidRPr="00535EBB">
        <w:rPr>
          <w:rFonts w:ascii="Arial" w:hAnsi="Arial" w:cs="Arial"/>
          <w:b/>
          <w:bCs/>
        </w:rPr>
        <w:t>, 2025-Ohio-</w:t>
      </w:r>
      <w:r w:rsidRPr="00535EBB">
        <w:rPr>
          <w:rFonts w:ascii="Arial" w:hAnsi="Arial" w:cs="Arial"/>
          <w:b/>
          <w:bCs/>
        </w:rPr>
        <w:t>1514</w:t>
      </w:r>
      <w:r w:rsidR="00EF672F" w:rsidRPr="00535EBB">
        <w:rPr>
          <w:rFonts w:ascii="Arial" w:hAnsi="Arial" w:cs="Arial"/>
          <w:b/>
          <w:bCs/>
        </w:rPr>
        <w:t xml:space="preserve"> </w:t>
      </w:r>
      <w:r w:rsidR="00EF672F" w:rsidRPr="00535EBB">
        <w:rPr>
          <w:rFonts w:ascii="Arial" w:hAnsi="Arial" w:cs="Arial"/>
        </w:rPr>
        <w:t xml:space="preserve">– </w:t>
      </w:r>
      <w:r w:rsidR="004317D1" w:rsidRPr="00535EBB">
        <w:rPr>
          <w:rFonts w:ascii="Arial" w:hAnsi="Arial" w:cs="Arial"/>
        </w:rPr>
        <w:t>The court properly admitted the custody evaluation conducted by the social worker</w:t>
      </w:r>
      <w:r w:rsidR="00805BF7" w:rsidRPr="00535EBB">
        <w:rPr>
          <w:rFonts w:ascii="Arial" w:hAnsi="Arial" w:cs="Arial"/>
        </w:rPr>
        <w:t xml:space="preserve"> despite the mother’s non-participation. </w:t>
      </w:r>
      <w:r w:rsidR="0033291B" w:rsidRPr="00535EBB">
        <w:rPr>
          <w:rFonts w:ascii="Arial" w:hAnsi="Arial" w:cs="Arial"/>
        </w:rPr>
        <w:t>Since the mother refused to participate</w:t>
      </w:r>
      <w:r w:rsidR="00997B88" w:rsidRPr="00535EBB">
        <w:rPr>
          <w:rFonts w:ascii="Arial" w:hAnsi="Arial" w:cs="Arial"/>
        </w:rPr>
        <w:t>,</w:t>
      </w:r>
      <w:r w:rsidR="0033291B" w:rsidRPr="00535EBB">
        <w:rPr>
          <w:rFonts w:ascii="Arial" w:hAnsi="Arial" w:cs="Arial"/>
        </w:rPr>
        <w:t xml:space="preserve"> the social worker was left to rely on the father’s </w:t>
      </w:r>
      <w:r w:rsidR="00997B88" w:rsidRPr="00535EBB">
        <w:rPr>
          <w:rFonts w:ascii="Arial" w:hAnsi="Arial" w:cs="Arial"/>
        </w:rPr>
        <w:t>interview and his perspectives.</w:t>
      </w:r>
    </w:p>
    <w:p w14:paraId="5325DD55" w14:textId="61658487" w:rsidR="00EF672F" w:rsidRPr="00535EBB" w:rsidRDefault="00EF672F" w:rsidP="002601E2">
      <w:pPr>
        <w:pStyle w:val="ListParagraph"/>
        <w:numPr>
          <w:ilvl w:val="0"/>
          <w:numId w:val="6"/>
        </w:numPr>
        <w:jc w:val="both"/>
        <w:rPr>
          <w:rFonts w:ascii="Arial" w:hAnsi="Arial" w:cs="Arial"/>
        </w:rPr>
      </w:pPr>
      <w:r w:rsidRPr="00535EBB">
        <w:rPr>
          <w:rFonts w:ascii="Arial" w:hAnsi="Arial" w:cs="Arial"/>
        </w:rPr>
        <w:t xml:space="preserve">Facts </w:t>
      </w:r>
    </w:p>
    <w:p w14:paraId="4947F4A7" w14:textId="2017459E" w:rsidR="00E43AFA" w:rsidRPr="00535EBB" w:rsidRDefault="00540B83" w:rsidP="00E43AFA">
      <w:pPr>
        <w:pStyle w:val="ListParagraph"/>
        <w:numPr>
          <w:ilvl w:val="1"/>
          <w:numId w:val="6"/>
        </w:numPr>
        <w:jc w:val="both"/>
        <w:rPr>
          <w:rFonts w:ascii="Arial" w:hAnsi="Arial" w:cs="Arial"/>
        </w:rPr>
      </w:pPr>
      <w:r w:rsidRPr="00535EBB">
        <w:rPr>
          <w:rFonts w:ascii="Arial" w:hAnsi="Arial" w:cs="Arial"/>
        </w:rPr>
        <w:t xml:space="preserve">The </w:t>
      </w:r>
      <w:r w:rsidR="005468C6" w:rsidRPr="00535EBB">
        <w:rPr>
          <w:rFonts w:ascii="Arial" w:hAnsi="Arial" w:cs="Arial"/>
        </w:rPr>
        <w:t xml:space="preserve">father filed for divorce and requested sole custody. The trial court’s visitation order </w:t>
      </w:r>
      <w:r w:rsidR="00764E2D" w:rsidRPr="00535EBB">
        <w:rPr>
          <w:rFonts w:ascii="Arial" w:hAnsi="Arial" w:cs="Arial"/>
        </w:rPr>
        <w:t xml:space="preserve">gave the father visitation every other weekend. However, the mother did not </w:t>
      </w:r>
      <w:r w:rsidR="00E43AFA" w:rsidRPr="00535EBB">
        <w:rPr>
          <w:rFonts w:ascii="Arial" w:hAnsi="Arial" w:cs="Arial"/>
        </w:rPr>
        <w:t xml:space="preserve">abide by the visitation order. The mother also moved to Indianapolis with the child. </w:t>
      </w:r>
    </w:p>
    <w:p w14:paraId="5F16099B" w14:textId="77777777" w:rsidR="00181243" w:rsidRPr="00535EBB" w:rsidRDefault="00B41923" w:rsidP="00EB07F1">
      <w:pPr>
        <w:pStyle w:val="ListParagraph"/>
        <w:numPr>
          <w:ilvl w:val="1"/>
          <w:numId w:val="6"/>
        </w:numPr>
        <w:jc w:val="both"/>
        <w:rPr>
          <w:rFonts w:ascii="Arial" w:hAnsi="Arial" w:cs="Arial"/>
        </w:rPr>
      </w:pPr>
      <w:r w:rsidRPr="00535EBB">
        <w:rPr>
          <w:rFonts w:ascii="Arial" w:hAnsi="Arial" w:cs="Arial"/>
          <w:b/>
          <w:bCs/>
        </w:rPr>
        <w:lastRenderedPageBreak/>
        <w:t xml:space="preserve">A social worker </w:t>
      </w:r>
      <w:r w:rsidR="00181243" w:rsidRPr="00535EBB">
        <w:rPr>
          <w:rFonts w:ascii="Arial" w:hAnsi="Arial" w:cs="Arial"/>
          <w:b/>
          <w:bCs/>
        </w:rPr>
        <w:t>conducted a custody evaluation</w:t>
      </w:r>
      <w:r w:rsidR="00181243" w:rsidRPr="00535EBB">
        <w:rPr>
          <w:rFonts w:ascii="Arial" w:hAnsi="Arial" w:cs="Arial"/>
        </w:rPr>
        <w:t xml:space="preserve"> and </w:t>
      </w:r>
      <w:r w:rsidR="004E4411" w:rsidRPr="00535EBB">
        <w:rPr>
          <w:rFonts w:ascii="Arial" w:hAnsi="Arial" w:cs="Arial"/>
        </w:rPr>
        <w:t xml:space="preserve">interviewed the mother for 15 minutes via </w:t>
      </w:r>
      <w:r w:rsidR="00EA13D4" w:rsidRPr="00535EBB">
        <w:rPr>
          <w:rFonts w:ascii="Arial" w:hAnsi="Arial" w:cs="Arial"/>
        </w:rPr>
        <w:t>Zoom</w:t>
      </w:r>
      <w:r w:rsidR="004E4411" w:rsidRPr="00535EBB">
        <w:rPr>
          <w:rFonts w:ascii="Arial" w:hAnsi="Arial" w:cs="Arial"/>
        </w:rPr>
        <w:t xml:space="preserve"> before she left the interview. The social worker </w:t>
      </w:r>
      <w:r w:rsidR="00B42E18" w:rsidRPr="00535EBB">
        <w:rPr>
          <w:rFonts w:ascii="Arial" w:hAnsi="Arial" w:cs="Arial"/>
        </w:rPr>
        <w:t xml:space="preserve">interviewed </w:t>
      </w:r>
      <w:r w:rsidR="004E4411" w:rsidRPr="00535EBB">
        <w:rPr>
          <w:rFonts w:ascii="Arial" w:hAnsi="Arial" w:cs="Arial"/>
        </w:rPr>
        <w:t xml:space="preserve">the father, the child, </w:t>
      </w:r>
      <w:r w:rsidR="00EA13D4" w:rsidRPr="00535EBB">
        <w:rPr>
          <w:rFonts w:ascii="Arial" w:hAnsi="Arial" w:cs="Arial"/>
        </w:rPr>
        <w:t xml:space="preserve">and </w:t>
      </w:r>
      <w:r w:rsidR="007A29FC" w:rsidRPr="00535EBB">
        <w:rPr>
          <w:rFonts w:ascii="Arial" w:hAnsi="Arial" w:cs="Arial"/>
        </w:rPr>
        <w:t>the child’s adult sister</w:t>
      </w:r>
      <w:r w:rsidR="00B42E18" w:rsidRPr="00535EBB">
        <w:rPr>
          <w:rFonts w:ascii="Arial" w:hAnsi="Arial" w:cs="Arial"/>
        </w:rPr>
        <w:t>. The social worker also</w:t>
      </w:r>
      <w:r w:rsidR="00EA13D4" w:rsidRPr="00535EBB">
        <w:rPr>
          <w:rFonts w:ascii="Arial" w:hAnsi="Arial" w:cs="Arial"/>
        </w:rPr>
        <w:t xml:space="preserve"> </w:t>
      </w:r>
      <w:r w:rsidR="00B42E18" w:rsidRPr="00535EBB">
        <w:rPr>
          <w:rFonts w:ascii="Arial" w:hAnsi="Arial" w:cs="Arial"/>
        </w:rPr>
        <w:t>reviewed</w:t>
      </w:r>
      <w:r w:rsidR="00EA13D4" w:rsidRPr="00535EBB">
        <w:rPr>
          <w:rFonts w:ascii="Arial" w:hAnsi="Arial" w:cs="Arial"/>
        </w:rPr>
        <w:t xml:space="preserve"> the child’s school reports.</w:t>
      </w:r>
      <w:r w:rsidR="007A29FC" w:rsidRPr="00535EBB">
        <w:rPr>
          <w:rFonts w:ascii="Arial" w:hAnsi="Arial" w:cs="Arial"/>
        </w:rPr>
        <w:t xml:space="preserve"> </w:t>
      </w:r>
    </w:p>
    <w:p w14:paraId="2FB3D558" w14:textId="058F1099" w:rsidR="00EB07F1" w:rsidRPr="00535EBB" w:rsidRDefault="00EA13D4" w:rsidP="00EB07F1">
      <w:pPr>
        <w:pStyle w:val="ListParagraph"/>
        <w:numPr>
          <w:ilvl w:val="1"/>
          <w:numId w:val="6"/>
        </w:numPr>
        <w:jc w:val="both"/>
        <w:rPr>
          <w:rFonts w:ascii="Arial" w:hAnsi="Arial" w:cs="Arial"/>
        </w:rPr>
      </w:pPr>
      <w:r w:rsidRPr="00535EBB">
        <w:rPr>
          <w:rFonts w:ascii="Arial" w:hAnsi="Arial" w:cs="Arial"/>
        </w:rPr>
        <w:t>T</w:t>
      </w:r>
      <w:r w:rsidR="007A29FC" w:rsidRPr="00535EBB">
        <w:rPr>
          <w:rFonts w:ascii="Arial" w:hAnsi="Arial" w:cs="Arial"/>
        </w:rPr>
        <w:t xml:space="preserve">he custody evaluation report concluded that the visitation schedule should give the father more visitation, </w:t>
      </w:r>
      <w:r w:rsidR="009F567C" w:rsidRPr="00535EBB">
        <w:rPr>
          <w:rFonts w:ascii="Arial" w:hAnsi="Arial" w:cs="Arial"/>
        </w:rPr>
        <w:t>and</w:t>
      </w:r>
      <w:r w:rsidR="005805A2" w:rsidRPr="00535EBB">
        <w:rPr>
          <w:rFonts w:ascii="Arial" w:hAnsi="Arial" w:cs="Arial"/>
        </w:rPr>
        <w:t xml:space="preserve"> </w:t>
      </w:r>
      <w:r w:rsidR="009F567C" w:rsidRPr="00535EBB">
        <w:rPr>
          <w:rFonts w:ascii="Arial" w:hAnsi="Arial" w:cs="Arial"/>
        </w:rPr>
        <w:t>the evaluator</w:t>
      </w:r>
      <w:r w:rsidR="005805A2" w:rsidRPr="00535EBB">
        <w:rPr>
          <w:rFonts w:ascii="Arial" w:hAnsi="Arial" w:cs="Arial"/>
        </w:rPr>
        <w:t xml:space="preserve"> feared</w:t>
      </w:r>
      <w:r w:rsidR="007A29FC" w:rsidRPr="00535EBB">
        <w:rPr>
          <w:rFonts w:ascii="Arial" w:hAnsi="Arial" w:cs="Arial"/>
        </w:rPr>
        <w:t xml:space="preserve"> the mother subjected the child to coercive control</w:t>
      </w:r>
      <w:r w:rsidR="005805A2" w:rsidRPr="00535EBB">
        <w:rPr>
          <w:rFonts w:ascii="Arial" w:hAnsi="Arial" w:cs="Arial"/>
        </w:rPr>
        <w:t xml:space="preserve">, a form of emotional abuse. </w:t>
      </w:r>
    </w:p>
    <w:p w14:paraId="5A184558" w14:textId="32CF54E4" w:rsidR="00B5632C" w:rsidRPr="00535EBB" w:rsidRDefault="00B5632C" w:rsidP="00B5632C">
      <w:pPr>
        <w:pStyle w:val="ListParagraph"/>
        <w:numPr>
          <w:ilvl w:val="2"/>
          <w:numId w:val="6"/>
        </w:numPr>
        <w:jc w:val="both"/>
        <w:rPr>
          <w:rFonts w:ascii="Arial" w:hAnsi="Arial" w:cs="Arial"/>
          <w:b/>
          <w:bCs/>
        </w:rPr>
      </w:pPr>
      <w:r w:rsidRPr="00535EBB">
        <w:rPr>
          <w:rFonts w:ascii="Arial" w:hAnsi="Arial" w:cs="Arial"/>
        </w:rPr>
        <w:t xml:space="preserve">The </w:t>
      </w:r>
      <w:r w:rsidRPr="00535EBB">
        <w:rPr>
          <w:rFonts w:ascii="Arial" w:hAnsi="Arial" w:cs="Arial"/>
          <w:b/>
          <w:bCs/>
        </w:rPr>
        <w:t>mother appealed and tried to strike</w:t>
      </w:r>
      <w:r w:rsidR="00AB2DC4" w:rsidRPr="00535EBB">
        <w:rPr>
          <w:rFonts w:ascii="Arial" w:hAnsi="Arial" w:cs="Arial"/>
          <w:b/>
          <w:bCs/>
        </w:rPr>
        <w:t xml:space="preserve"> the social </w:t>
      </w:r>
      <w:proofErr w:type="gramStart"/>
      <w:r w:rsidR="006E1D5D" w:rsidRPr="00535EBB">
        <w:rPr>
          <w:rFonts w:ascii="Arial" w:hAnsi="Arial" w:cs="Arial"/>
          <w:b/>
          <w:bCs/>
        </w:rPr>
        <w:t>worker’s</w:t>
      </w:r>
      <w:proofErr w:type="gramEnd"/>
      <w:r w:rsidR="00AB2DC4" w:rsidRPr="00535EBB">
        <w:rPr>
          <w:rFonts w:ascii="Arial" w:hAnsi="Arial" w:cs="Arial"/>
          <w:b/>
          <w:bCs/>
        </w:rPr>
        <w:t xml:space="preserve"> custody-evaluation report.</w:t>
      </w:r>
    </w:p>
    <w:p w14:paraId="500DE68F" w14:textId="647D5149" w:rsidR="0070067B" w:rsidRPr="00535EBB" w:rsidRDefault="0070067B" w:rsidP="0070067B">
      <w:pPr>
        <w:pStyle w:val="ListParagraph"/>
        <w:numPr>
          <w:ilvl w:val="1"/>
          <w:numId w:val="6"/>
        </w:numPr>
        <w:jc w:val="both"/>
        <w:rPr>
          <w:rFonts w:ascii="Arial" w:hAnsi="Arial" w:cs="Arial"/>
        </w:rPr>
      </w:pPr>
      <w:r w:rsidRPr="00535EBB">
        <w:rPr>
          <w:rFonts w:ascii="Arial" w:hAnsi="Arial" w:cs="Arial"/>
          <w:b/>
          <w:bCs/>
        </w:rPr>
        <w:t>There was a GAL appointed and later withdrawn</w:t>
      </w:r>
      <w:r w:rsidRPr="00535EBB">
        <w:rPr>
          <w:rFonts w:ascii="Arial" w:hAnsi="Arial" w:cs="Arial"/>
        </w:rPr>
        <w:t>.</w:t>
      </w:r>
    </w:p>
    <w:p w14:paraId="70932519" w14:textId="6268E8CA" w:rsidR="00B5632C" w:rsidRPr="00535EBB" w:rsidRDefault="00855ECF" w:rsidP="00B5632C">
      <w:pPr>
        <w:pStyle w:val="ListParagraph"/>
        <w:numPr>
          <w:ilvl w:val="1"/>
          <w:numId w:val="6"/>
        </w:numPr>
        <w:jc w:val="both"/>
        <w:rPr>
          <w:rFonts w:ascii="Arial" w:hAnsi="Arial" w:cs="Arial"/>
        </w:rPr>
      </w:pPr>
      <w:r w:rsidRPr="00535EBB">
        <w:rPr>
          <w:rFonts w:ascii="Arial" w:hAnsi="Arial" w:cs="Arial"/>
        </w:rPr>
        <w:t xml:space="preserve">After the trial court conducted an in-camera interview with the child, it found that the child was indoctrinated and adopted the mother’s view </w:t>
      </w:r>
      <w:proofErr w:type="gramStart"/>
      <w:r w:rsidRPr="00535EBB">
        <w:rPr>
          <w:rFonts w:ascii="Arial" w:hAnsi="Arial" w:cs="Arial"/>
        </w:rPr>
        <w:t>entirely</w:t>
      </w:r>
      <w:r w:rsidR="00B5632C" w:rsidRPr="00535EBB">
        <w:rPr>
          <w:rFonts w:ascii="Arial" w:hAnsi="Arial" w:cs="Arial"/>
        </w:rPr>
        <w:t>, and</w:t>
      </w:r>
      <w:proofErr w:type="gramEnd"/>
      <w:r w:rsidR="00B5632C" w:rsidRPr="00535EBB">
        <w:rPr>
          <w:rFonts w:ascii="Arial" w:hAnsi="Arial" w:cs="Arial"/>
        </w:rPr>
        <w:t xml:space="preserve"> needed separation from the mother to be rehabilitated.</w:t>
      </w:r>
    </w:p>
    <w:p w14:paraId="31757691" w14:textId="1327D301" w:rsidR="00B5632C" w:rsidRPr="00535EBB" w:rsidRDefault="00B5632C" w:rsidP="00B5632C">
      <w:pPr>
        <w:pStyle w:val="ListParagraph"/>
        <w:numPr>
          <w:ilvl w:val="1"/>
          <w:numId w:val="6"/>
        </w:numPr>
        <w:jc w:val="both"/>
        <w:rPr>
          <w:rFonts w:ascii="Arial" w:hAnsi="Arial" w:cs="Arial"/>
        </w:rPr>
      </w:pPr>
      <w:r w:rsidRPr="00535EBB">
        <w:rPr>
          <w:rFonts w:ascii="Arial" w:hAnsi="Arial" w:cs="Arial"/>
        </w:rPr>
        <w:t xml:space="preserve">The court also </w:t>
      </w:r>
      <w:r w:rsidR="00526B1B" w:rsidRPr="00535EBB">
        <w:rPr>
          <w:rFonts w:ascii="Arial" w:hAnsi="Arial" w:cs="Arial"/>
        </w:rPr>
        <w:t>awarded</w:t>
      </w:r>
      <w:r w:rsidRPr="00535EBB">
        <w:rPr>
          <w:rFonts w:ascii="Arial" w:hAnsi="Arial" w:cs="Arial"/>
        </w:rPr>
        <w:t xml:space="preserve"> sole custody to the father and specifically addressed </w:t>
      </w:r>
      <w:r w:rsidR="0070067B" w:rsidRPr="00535EBB">
        <w:rPr>
          <w:rFonts w:ascii="Arial" w:hAnsi="Arial" w:cs="Arial"/>
        </w:rPr>
        <w:t>the R.C.</w:t>
      </w:r>
      <w:r w:rsidRPr="00535EBB">
        <w:rPr>
          <w:rFonts w:ascii="Arial" w:hAnsi="Arial" w:cs="Arial"/>
        </w:rPr>
        <w:t xml:space="preserve"> 3109.04 factors regarding the child’s best </w:t>
      </w:r>
      <w:r w:rsidR="00AB2DC4" w:rsidRPr="00535EBB">
        <w:rPr>
          <w:rFonts w:ascii="Arial" w:hAnsi="Arial" w:cs="Arial"/>
        </w:rPr>
        <w:t>interest</w:t>
      </w:r>
      <w:r w:rsidRPr="00535EBB">
        <w:rPr>
          <w:rFonts w:ascii="Arial" w:hAnsi="Arial" w:cs="Arial"/>
        </w:rPr>
        <w:t xml:space="preserve"> </w:t>
      </w:r>
      <w:r w:rsidR="00526B1B" w:rsidRPr="00535EBB">
        <w:rPr>
          <w:rFonts w:ascii="Arial" w:hAnsi="Arial" w:cs="Arial"/>
        </w:rPr>
        <w:t xml:space="preserve">and visitation rights. </w:t>
      </w:r>
    </w:p>
    <w:p w14:paraId="690C3AA7" w14:textId="55029792" w:rsidR="00A86B38" w:rsidRPr="00535EBB" w:rsidRDefault="00A86B38" w:rsidP="00526B1B">
      <w:pPr>
        <w:pStyle w:val="ListParagraph"/>
        <w:numPr>
          <w:ilvl w:val="0"/>
          <w:numId w:val="6"/>
        </w:numPr>
        <w:jc w:val="both"/>
        <w:rPr>
          <w:rFonts w:ascii="Arial" w:hAnsi="Arial" w:cs="Arial"/>
        </w:rPr>
      </w:pPr>
      <w:r w:rsidRPr="00535EBB">
        <w:rPr>
          <w:rFonts w:ascii="Arial" w:hAnsi="Arial" w:cs="Arial"/>
        </w:rPr>
        <w:t>Law</w:t>
      </w:r>
    </w:p>
    <w:p w14:paraId="6E7BBAF6" w14:textId="547E2CBA" w:rsidR="00A86B38" w:rsidRPr="00535EBB" w:rsidRDefault="00A86B38" w:rsidP="00A86B38">
      <w:pPr>
        <w:pStyle w:val="ListParagraph"/>
        <w:numPr>
          <w:ilvl w:val="1"/>
          <w:numId w:val="6"/>
        </w:numPr>
        <w:jc w:val="both"/>
        <w:rPr>
          <w:rFonts w:ascii="Arial" w:hAnsi="Arial" w:cs="Arial"/>
        </w:rPr>
      </w:pPr>
      <w:r w:rsidRPr="00535EBB">
        <w:rPr>
          <w:rFonts w:ascii="Arial" w:hAnsi="Arial" w:cs="Arial"/>
        </w:rPr>
        <w:t xml:space="preserve">“A trial court maintains broad discretion as to the admission and exclusion of evidence.” Appellate courts review </w:t>
      </w:r>
      <w:r w:rsidR="00812575" w:rsidRPr="00535EBB">
        <w:rPr>
          <w:rFonts w:ascii="Arial" w:hAnsi="Arial" w:cs="Arial"/>
        </w:rPr>
        <w:t>challenges to a trial court’s admission of evidence for both “an abuse of discretion and proof of material prejudice.”</w:t>
      </w:r>
    </w:p>
    <w:p w14:paraId="6B9B487C" w14:textId="1CA46039" w:rsidR="00526B1B" w:rsidRPr="00535EBB" w:rsidRDefault="00526B1B" w:rsidP="00526B1B">
      <w:pPr>
        <w:pStyle w:val="ListParagraph"/>
        <w:numPr>
          <w:ilvl w:val="0"/>
          <w:numId w:val="6"/>
        </w:numPr>
        <w:jc w:val="both"/>
        <w:rPr>
          <w:rFonts w:ascii="Arial" w:hAnsi="Arial" w:cs="Arial"/>
        </w:rPr>
      </w:pPr>
      <w:r w:rsidRPr="00535EBB">
        <w:rPr>
          <w:rFonts w:ascii="Arial" w:hAnsi="Arial" w:cs="Arial"/>
        </w:rPr>
        <w:lastRenderedPageBreak/>
        <w:t xml:space="preserve">Holding </w:t>
      </w:r>
    </w:p>
    <w:p w14:paraId="46686784" w14:textId="52F2BAD9" w:rsidR="00526B1B" w:rsidRPr="00535EBB" w:rsidRDefault="00812575" w:rsidP="00526B1B">
      <w:pPr>
        <w:pStyle w:val="ListParagraph"/>
        <w:numPr>
          <w:ilvl w:val="1"/>
          <w:numId w:val="6"/>
        </w:numPr>
        <w:jc w:val="both"/>
        <w:rPr>
          <w:rFonts w:ascii="Arial" w:hAnsi="Arial" w:cs="Arial"/>
        </w:rPr>
      </w:pPr>
      <w:r w:rsidRPr="00535EBB">
        <w:rPr>
          <w:rFonts w:ascii="Arial" w:hAnsi="Arial" w:cs="Arial"/>
          <w:b/>
          <w:bCs/>
        </w:rPr>
        <w:t>The court found that</w:t>
      </w:r>
      <w:r w:rsidR="0017235A" w:rsidRPr="00535EBB">
        <w:rPr>
          <w:rFonts w:ascii="Arial" w:hAnsi="Arial" w:cs="Arial"/>
          <w:b/>
          <w:bCs/>
        </w:rPr>
        <w:t xml:space="preserve"> the trial court did not abuse its discretion by refusing to strike the social worker’s custody-evaluation report, despite the mother not participating.</w:t>
      </w:r>
      <w:r w:rsidR="0017235A" w:rsidRPr="00535EBB">
        <w:rPr>
          <w:rFonts w:ascii="Arial" w:hAnsi="Arial" w:cs="Arial"/>
        </w:rPr>
        <w:t xml:space="preserve"> The court specifically stated that</w:t>
      </w:r>
      <w:r w:rsidR="0070067B" w:rsidRPr="00535EBB">
        <w:rPr>
          <w:rFonts w:ascii="Arial" w:hAnsi="Arial" w:cs="Arial"/>
        </w:rPr>
        <w:t xml:space="preserve">, “While Mother takes issue with the content of the report, many of the alleged issues are topics that could have been readily addressed had Mother participated in the interview process.” The court noted that had </w:t>
      </w:r>
      <w:r w:rsidR="000B7F79" w:rsidRPr="00535EBB">
        <w:rPr>
          <w:rFonts w:ascii="Arial" w:hAnsi="Arial" w:cs="Arial"/>
        </w:rPr>
        <w:t>the mother partic</w:t>
      </w:r>
      <w:r w:rsidR="005E0818" w:rsidRPr="00535EBB">
        <w:rPr>
          <w:rFonts w:ascii="Arial" w:hAnsi="Arial" w:cs="Arial"/>
        </w:rPr>
        <w:t xml:space="preserve">ipated, she would have had the opportunity to dispel any claims </w:t>
      </w:r>
      <w:r w:rsidR="00BE4917" w:rsidRPr="00535EBB">
        <w:rPr>
          <w:rFonts w:ascii="Arial" w:hAnsi="Arial" w:cs="Arial"/>
        </w:rPr>
        <w:t>against her</w:t>
      </w:r>
      <w:r w:rsidR="005E0818" w:rsidRPr="00535EBB">
        <w:rPr>
          <w:rFonts w:ascii="Arial" w:hAnsi="Arial" w:cs="Arial"/>
        </w:rPr>
        <w:t xml:space="preserve"> and could have </w:t>
      </w:r>
      <w:r w:rsidR="00BE4917" w:rsidRPr="00535EBB">
        <w:rPr>
          <w:rFonts w:ascii="Arial" w:hAnsi="Arial" w:cs="Arial"/>
        </w:rPr>
        <w:t>brought</w:t>
      </w:r>
      <w:r w:rsidR="005E0818" w:rsidRPr="00535EBB">
        <w:rPr>
          <w:rFonts w:ascii="Arial" w:hAnsi="Arial" w:cs="Arial"/>
        </w:rPr>
        <w:t xml:space="preserve"> her claims </w:t>
      </w:r>
      <w:r w:rsidR="00BE4917" w:rsidRPr="00535EBB">
        <w:rPr>
          <w:rFonts w:ascii="Arial" w:hAnsi="Arial" w:cs="Arial"/>
        </w:rPr>
        <w:t>against the father.</w:t>
      </w:r>
    </w:p>
    <w:p w14:paraId="2C8B633D" w14:textId="58B5523B" w:rsidR="00BE4917" w:rsidRPr="00535EBB" w:rsidRDefault="00BE4917" w:rsidP="00526B1B">
      <w:pPr>
        <w:pStyle w:val="ListParagraph"/>
        <w:numPr>
          <w:ilvl w:val="1"/>
          <w:numId w:val="6"/>
        </w:numPr>
        <w:jc w:val="both"/>
        <w:rPr>
          <w:rFonts w:ascii="Arial" w:hAnsi="Arial" w:cs="Arial"/>
        </w:rPr>
      </w:pPr>
      <w:r w:rsidRPr="00535EBB">
        <w:rPr>
          <w:rFonts w:ascii="Arial" w:hAnsi="Arial" w:cs="Arial"/>
        </w:rPr>
        <w:t xml:space="preserve">Since the mother refused to participate, the social worker was left to the sources of information she had available, which were the father, the child’s adult sibling, and the child’s school reports. </w:t>
      </w:r>
    </w:p>
    <w:p w14:paraId="08EB711F" w14:textId="497D5429" w:rsidR="000161DA" w:rsidRPr="00535EBB" w:rsidRDefault="000161DA" w:rsidP="00783CE1">
      <w:pPr>
        <w:jc w:val="both"/>
        <w:rPr>
          <w:rFonts w:ascii="Arial" w:hAnsi="Arial" w:cs="Arial"/>
        </w:rPr>
      </w:pPr>
      <w:r w:rsidRPr="00535EBB">
        <w:rPr>
          <w:rFonts w:ascii="Arial" w:hAnsi="Arial" w:cs="Arial"/>
          <w:b/>
          <w:bCs/>
          <w:i/>
          <w:iCs/>
        </w:rPr>
        <w:t>Thompson v. Thompson</w:t>
      </w:r>
      <w:r w:rsidRPr="00535EBB">
        <w:rPr>
          <w:rFonts w:ascii="Arial" w:hAnsi="Arial" w:cs="Arial"/>
          <w:b/>
          <w:bCs/>
        </w:rPr>
        <w:t xml:space="preserve">, 2023-Ohio-667 (12th Dist.). </w:t>
      </w:r>
      <w:r w:rsidRPr="00535EBB">
        <w:rPr>
          <w:rFonts w:ascii="Arial" w:hAnsi="Arial" w:cs="Arial"/>
        </w:rPr>
        <w:t xml:space="preserve">– </w:t>
      </w:r>
      <w:r w:rsidR="00061908" w:rsidRPr="00535EBB">
        <w:rPr>
          <w:rFonts w:ascii="Arial" w:hAnsi="Arial" w:cs="Arial"/>
        </w:rPr>
        <w:t xml:space="preserve">Though the custody evaluation report conflicted with the GAL report in recommending the father </w:t>
      </w:r>
      <w:r w:rsidR="00B5004E" w:rsidRPr="00535EBB">
        <w:rPr>
          <w:rFonts w:ascii="Arial" w:hAnsi="Arial" w:cs="Arial"/>
        </w:rPr>
        <w:t>be designated the residential and custodial parent, the trial court did not abuse its discretion</w:t>
      </w:r>
      <w:r w:rsidR="002A25A8" w:rsidRPr="00535EBB">
        <w:rPr>
          <w:rFonts w:ascii="Arial" w:hAnsi="Arial" w:cs="Arial"/>
        </w:rPr>
        <w:t xml:space="preserve"> in </w:t>
      </w:r>
      <w:r w:rsidR="00F10768" w:rsidRPr="00535EBB">
        <w:rPr>
          <w:rFonts w:ascii="Arial" w:hAnsi="Arial" w:cs="Arial"/>
        </w:rPr>
        <w:t>designating the mother as residential and custodial parent because it</w:t>
      </w:r>
      <w:r w:rsidR="00B5004E" w:rsidRPr="00535EBB">
        <w:rPr>
          <w:rFonts w:ascii="Arial" w:hAnsi="Arial" w:cs="Arial"/>
        </w:rPr>
        <w:t xml:space="preserve"> </w:t>
      </w:r>
      <w:r w:rsidR="00F10768" w:rsidRPr="00535EBB">
        <w:rPr>
          <w:rFonts w:ascii="Arial" w:hAnsi="Arial" w:cs="Arial"/>
        </w:rPr>
        <w:t xml:space="preserve">weighed </w:t>
      </w:r>
      <w:r w:rsidR="00CB2269" w:rsidRPr="00535EBB">
        <w:rPr>
          <w:rFonts w:ascii="Arial" w:hAnsi="Arial" w:cs="Arial"/>
        </w:rPr>
        <w:t>the R.C. 3109.04 best interest factors</w:t>
      </w:r>
      <w:r w:rsidR="00F10768" w:rsidRPr="00535EBB">
        <w:rPr>
          <w:rFonts w:ascii="Arial" w:hAnsi="Arial" w:cs="Arial"/>
        </w:rPr>
        <w:t>, considered</w:t>
      </w:r>
      <w:r w:rsidR="00CB2269" w:rsidRPr="00535EBB">
        <w:rPr>
          <w:rFonts w:ascii="Arial" w:hAnsi="Arial" w:cs="Arial"/>
        </w:rPr>
        <w:t xml:space="preserve"> both reports, testimony, and actions of the mother to better her behavior and relationship with her children.</w:t>
      </w:r>
      <w:r w:rsidR="00B5004E" w:rsidRPr="00535EBB">
        <w:rPr>
          <w:rFonts w:ascii="Arial" w:hAnsi="Arial" w:cs="Arial"/>
        </w:rPr>
        <w:t xml:space="preserve"> </w:t>
      </w:r>
    </w:p>
    <w:p w14:paraId="02DAA7D5" w14:textId="58B6AECB" w:rsidR="000161DA" w:rsidRPr="00535EBB" w:rsidRDefault="00CF35E5" w:rsidP="00CF35E5">
      <w:pPr>
        <w:pStyle w:val="ListParagraph"/>
        <w:numPr>
          <w:ilvl w:val="0"/>
          <w:numId w:val="7"/>
        </w:numPr>
        <w:jc w:val="both"/>
        <w:rPr>
          <w:rFonts w:ascii="Arial" w:hAnsi="Arial" w:cs="Arial"/>
        </w:rPr>
      </w:pPr>
      <w:r w:rsidRPr="00535EBB">
        <w:rPr>
          <w:rFonts w:ascii="Arial" w:hAnsi="Arial" w:cs="Arial"/>
        </w:rPr>
        <w:t>Facts</w:t>
      </w:r>
    </w:p>
    <w:p w14:paraId="1DEC4195" w14:textId="0F8C50CA" w:rsidR="00BA7876" w:rsidRPr="00535EBB" w:rsidRDefault="00104937" w:rsidP="00677834">
      <w:pPr>
        <w:pStyle w:val="ListParagraph"/>
        <w:numPr>
          <w:ilvl w:val="1"/>
          <w:numId w:val="7"/>
        </w:numPr>
        <w:jc w:val="both"/>
        <w:rPr>
          <w:rFonts w:ascii="Arial" w:hAnsi="Arial" w:cs="Arial"/>
        </w:rPr>
      </w:pPr>
      <w:r w:rsidRPr="00535EBB">
        <w:rPr>
          <w:rFonts w:ascii="Arial" w:hAnsi="Arial" w:cs="Arial"/>
        </w:rPr>
        <w:lastRenderedPageBreak/>
        <w:t xml:space="preserve">The father moved to suspend the mother’s parenting time </w:t>
      </w:r>
      <w:r w:rsidR="000F24B5" w:rsidRPr="00535EBB">
        <w:rPr>
          <w:rFonts w:ascii="Arial" w:hAnsi="Arial" w:cs="Arial"/>
        </w:rPr>
        <w:t>and kept the child through the Christmas holiday.</w:t>
      </w:r>
      <w:r w:rsidR="00287D8C" w:rsidRPr="00535EBB">
        <w:rPr>
          <w:rFonts w:ascii="Arial" w:hAnsi="Arial" w:cs="Arial"/>
        </w:rPr>
        <w:t xml:space="preserve"> The mother then moved to have the father in contempt for denying her parenting time.</w:t>
      </w:r>
    </w:p>
    <w:p w14:paraId="5083739C" w14:textId="7E1F9D8E" w:rsidR="00677834" w:rsidRPr="00535EBB" w:rsidRDefault="00BA7876" w:rsidP="00677834">
      <w:pPr>
        <w:pStyle w:val="ListParagraph"/>
        <w:numPr>
          <w:ilvl w:val="1"/>
          <w:numId w:val="7"/>
        </w:numPr>
        <w:jc w:val="both"/>
        <w:rPr>
          <w:rFonts w:ascii="Arial" w:hAnsi="Arial" w:cs="Arial"/>
        </w:rPr>
      </w:pPr>
      <w:r w:rsidRPr="00535EBB">
        <w:rPr>
          <w:rFonts w:ascii="Arial" w:hAnsi="Arial" w:cs="Arial"/>
        </w:rPr>
        <w:t>The court appointed someone to conduct a custody evaluation.</w:t>
      </w:r>
    </w:p>
    <w:p w14:paraId="5961343C" w14:textId="0BB5E81E" w:rsidR="00287D8C" w:rsidRPr="00535EBB" w:rsidRDefault="00287D8C" w:rsidP="00677834">
      <w:pPr>
        <w:pStyle w:val="ListParagraph"/>
        <w:numPr>
          <w:ilvl w:val="1"/>
          <w:numId w:val="7"/>
        </w:numPr>
        <w:jc w:val="both"/>
        <w:rPr>
          <w:rFonts w:ascii="Arial" w:hAnsi="Arial" w:cs="Arial"/>
        </w:rPr>
      </w:pPr>
      <w:r w:rsidRPr="00535EBB">
        <w:rPr>
          <w:rFonts w:ascii="Arial" w:hAnsi="Arial" w:cs="Arial"/>
        </w:rPr>
        <w:t xml:space="preserve">The </w:t>
      </w:r>
      <w:r w:rsidRPr="00535EBB">
        <w:rPr>
          <w:rFonts w:ascii="Arial" w:hAnsi="Arial" w:cs="Arial"/>
          <w:b/>
          <w:bCs/>
        </w:rPr>
        <w:t>GAL</w:t>
      </w:r>
      <w:r w:rsidR="00A94102" w:rsidRPr="00535EBB">
        <w:rPr>
          <w:rFonts w:ascii="Arial" w:hAnsi="Arial" w:cs="Arial"/>
          <w:b/>
          <w:bCs/>
        </w:rPr>
        <w:t xml:space="preserve"> recommended that the mother be designated the children’s residential parent and legal custodian.</w:t>
      </w:r>
      <w:r w:rsidR="00A94102" w:rsidRPr="00535EBB">
        <w:rPr>
          <w:rFonts w:ascii="Arial" w:hAnsi="Arial" w:cs="Arial"/>
        </w:rPr>
        <w:t xml:space="preserve"> </w:t>
      </w:r>
    </w:p>
    <w:p w14:paraId="5999F151" w14:textId="288989B9" w:rsidR="00014D26" w:rsidRPr="00535EBB" w:rsidRDefault="00014D26" w:rsidP="00014D26">
      <w:pPr>
        <w:pStyle w:val="ListParagraph"/>
        <w:numPr>
          <w:ilvl w:val="2"/>
          <w:numId w:val="7"/>
        </w:numPr>
        <w:jc w:val="both"/>
        <w:rPr>
          <w:rFonts w:ascii="Arial" w:hAnsi="Arial" w:cs="Arial"/>
        </w:rPr>
      </w:pPr>
      <w:r w:rsidRPr="00535EBB">
        <w:rPr>
          <w:rFonts w:ascii="Arial" w:hAnsi="Arial" w:cs="Arial"/>
        </w:rPr>
        <w:t xml:space="preserve">The GAL report indicated that the children initially liked the equal parenting schedule until the father talked to the children about custody, in which one of the children changed his mind. The report also noted that the </w:t>
      </w:r>
      <w:proofErr w:type="gramStart"/>
      <w:r w:rsidRPr="00535EBB">
        <w:rPr>
          <w:rFonts w:ascii="Arial" w:hAnsi="Arial" w:cs="Arial"/>
        </w:rPr>
        <w:t>mother</w:t>
      </w:r>
      <w:proofErr w:type="gramEnd"/>
      <w:r w:rsidRPr="00535EBB">
        <w:rPr>
          <w:rFonts w:ascii="Arial" w:hAnsi="Arial" w:cs="Arial"/>
        </w:rPr>
        <w:t xml:space="preserve"> and the children had a strong bond.</w:t>
      </w:r>
    </w:p>
    <w:p w14:paraId="15FDEE3D" w14:textId="0C538830" w:rsidR="00A94102" w:rsidRPr="00535EBB" w:rsidRDefault="00A94102" w:rsidP="00677834">
      <w:pPr>
        <w:pStyle w:val="ListParagraph"/>
        <w:numPr>
          <w:ilvl w:val="1"/>
          <w:numId w:val="7"/>
        </w:numPr>
        <w:jc w:val="both"/>
        <w:rPr>
          <w:rFonts w:ascii="Arial" w:hAnsi="Arial" w:cs="Arial"/>
        </w:rPr>
      </w:pPr>
      <w:r w:rsidRPr="00535EBB">
        <w:rPr>
          <w:rFonts w:ascii="Arial" w:hAnsi="Arial" w:cs="Arial"/>
        </w:rPr>
        <w:t xml:space="preserve">However, the </w:t>
      </w:r>
      <w:r w:rsidRPr="00535EBB">
        <w:rPr>
          <w:rFonts w:ascii="Arial" w:hAnsi="Arial" w:cs="Arial"/>
          <w:b/>
          <w:bCs/>
        </w:rPr>
        <w:t>custod</w:t>
      </w:r>
      <w:r w:rsidR="000956F1" w:rsidRPr="00535EBB">
        <w:rPr>
          <w:rFonts w:ascii="Arial" w:hAnsi="Arial" w:cs="Arial"/>
          <w:b/>
          <w:bCs/>
        </w:rPr>
        <w:t xml:space="preserve">y evaluation report recommended that the father be designated </w:t>
      </w:r>
      <w:r w:rsidR="000F15E6" w:rsidRPr="00535EBB">
        <w:rPr>
          <w:rFonts w:ascii="Arial" w:hAnsi="Arial" w:cs="Arial"/>
          <w:b/>
          <w:bCs/>
        </w:rPr>
        <w:t xml:space="preserve">the residential parent and legal </w:t>
      </w:r>
      <w:r w:rsidR="000F15E6" w:rsidRPr="00535EBB">
        <w:rPr>
          <w:rFonts w:ascii="Arial" w:hAnsi="Arial" w:cs="Arial"/>
        </w:rPr>
        <w:t xml:space="preserve">custodian if the mother didn’t receive mental health treatment to address her parenting issues. </w:t>
      </w:r>
      <w:r w:rsidR="00EC6446" w:rsidRPr="00535EBB">
        <w:rPr>
          <w:rFonts w:ascii="Arial" w:hAnsi="Arial" w:cs="Arial"/>
        </w:rPr>
        <w:t xml:space="preserve">If the mother </w:t>
      </w:r>
      <w:r w:rsidR="004432A7" w:rsidRPr="00535EBB">
        <w:rPr>
          <w:rFonts w:ascii="Arial" w:hAnsi="Arial" w:cs="Arial"/>
        </w:rPr>
        <w:t>receives</w:t>
      </w:r>
      <w:r w:rsidR="00EC6446" w:rsidRPr="00535EBB">
        <w:rPr>
          <w:rFonts w:ascii="Arial" w:hAnsi="Arial" w:cs="Arial"/>
        </w:rPr>
        <w:t xml:space="preserve"> treatment, then the report recommended </w:t>
      </w:r>
      <w:r w:rsidR="004432A7" w:rsidRPr="00535EBB">
        <w:rPr>
          <w:rFonts w:ascii="Arial" w:hAnsi="Arial" w:cs="Arial"/>
        </w:rPr>
        <w:t xml:space="preserve">that </w:t>
      </w:r>
      <w:r w:rsidR="00EC6446" w:rsidRPr="00535EBB">
        <w:rPr>
          <w:rFonts w:ascii="Arial" w:hAnsi="Arial" w:cs="Arial"/>
        </w:rPr>
        <w:t>the parties have equal parenting.</w:t>
      </w:r>
    </w:p>
    <w:p w14:paraId="2E3F5FF1" w14:textId="10C83174" w:rsidR="00014D26" w:rsidRPr="00535EBB" w:rsidRDefault="00014D26" w:rsidP="00014D26">
      <w:pPr>
        <w:pStyle w:val="ListParagraph"/>
        <w:numPr>
          <w:ilvl w:val="2"/>
          <w:numId w:val="7"/>
        </w:numPr>
        <w:jc w:val="both"/>
        <w:rPr>
          <w:rFonts w:ascii="Arial" w:hAnsi="Arial" w:cs="Arial"/>
        </w:rPr>
      </w:pPr>
      <w:r w:rsidRPr="00535EBB">
        <w:rPr>
          <w:rFonts w:ascii="Arial" w:hAnsi="Arial" w:cs="Arial"/>
        </w:rPr>
        <w:t xml:space="preserve">The custody evaluation report indicated that the mother’s relationship with the children fluctuated between being positive and caring to hostile and disrespectful, including mutual name-calling. The report also noted the </w:t>
      </w:r>
      <w:r w:rsidRPr="00535EBB">
        <w:rPr>
          <w:rFonts w:ascii="Arial" w:hAnsi="Arial" w:cs="Arial"/>
        </w:rPr>
        <w:lastRenderedPageBreak/>
        <w:t xml:space="preserve">mother’s test scores show she is an emotionally responsive person, </w:t>
      </w:r>
      <w:r w:rsidR="0068089D" w:rsidRPr="00535EBB">
        <w:rPr>
          <w:rFonts w:ascii="Arial" w:hAnsi="Arial" w:cs="Arial"/>
        </w:rPr>
        <w:t>stress-intolerant</w:t>
      </w:r>
      <w:r w:rsidRPr="00535EBB">
        <w:rPr>
          <w:rFonts w:ascii="Arial" w:hAnsi="Arial" w:cs="Arial"/>
        </w:rPr>
        <w:t>, and needs individual therapy.</w:t>
      </w:r>
    </w:p>
    <w:p w14:paraId="5218CCCB" w14:textId="22F0FE20" w:rsidR="00077BE8" w:rsidRPr="00535EBB" w:rsidRDefault="00077BE8" w:rsidP="00014D26">
      <w:pPr>
        <w:pStyle w:val="ListParagraph"/>
        <w:numPr>
          <w:ilvl w:val="2"/>
          <w:numId w:val="7"/>
        </w:numPr>
        <w:jc w:val="both"/>
        <w:rPr>
          <w:rFonts w:ascii="Arial" w:hAnsi="Arial" w:cs="Arial"/>
        </w:rPr>
      </w:pPr>
      <w:r w:rsidRPr="00535EBB">
        <w:rPr>
          <w:rFonts w:ascii="Arial" w:hAnsi="Arial" w:cs="Arial"/>
        </w:rPr>
        <w:t>Upon</w:t>
      </w:r>
      <w:r w:rsidR="003C34E0" w:rsidRPr="00535EBB">
        <w:rPr>
          <w:rFonts w:ascii="Arial" w:hAnsi="Arial" w:cs="Arial"/>
        </w:rPr>
        <w:t xml:space="preserve"> reading the report, the motion went to two counseling sessions, was diagnosed with divorce-related stress, and was advised to continue counseling on an </w:t>
      </w:r>
      <w:r w:rsidR="00272B81" w:rsidRPr="00535EBB">
        <w:rPr>
          <w:rFonts w:ascii="Arial" w:hAnsi="Arial" w:cs="Arial"/>
        </w:rPr>
        <w:t>as-needed</w:t>
      </w:r>
      <w:r w:rsidR="003C34E0" w:rsidRPr="00535EBB">
        <w:rPr>
          <w:rFonts w:ascii="Arial" w:hAnsi="Arial" w:cs="Arial"/>
        </w:rPr>
        <w:t xml:space="preserve"> basis. </w:t>
      </w:r>
    </w:p>
    <w:p w14:paraId="354DD9A3" w14:textId="26CE57B5" w:rsidR="00EC6446" w:rsidRPr="00535EBB" w:rsidRDefault="00EC6446" w:rsidP="00677834">
      <w:pPr>
        <w:pStyle w:val="ListParagraph"/>
        <w:numPr>
          <w:ilvl w:val="1"/>
          <w:numId w:val="7"/>
        </w:numPr>
        <w:jc w:val="both"/>
        <w:rPr>
          <w:rFonts w:ascii="Arial" w:hAnsi="Arial" w:cs="Arial"/>
          <w:b/>
          <w:bCs/>
        </w:rPr>
      </w:pPr>
      <w:r w:rsidRPr="00535EBB">
        <w:rPr>
          <w:rFonts w:ascii="Arial" w:hAnsi="Arial" w:cs="Arial"/>
        </w:rPr>
        <w:t xml:space="preserve">The </w:t>
      </w:r>
      <w:r w:rsidRPr="00535EBB">
        <w:rPr>
          <w:rFonts w:ascii="Arial" w:hAnsi="Arial" w:cs="Arial"/>
          <w:b/>
          <w:bCs/>
        </w:rPr>
        <w:t xml:space="preserve">magistrate designated the mother </w:t>
      </w:r>
      <w:r w:rsidR="004432A7" w:rsidRPr="00535EBB">
        <w:rPr>
          <w:rFonts w:ascii="Arial" w:hAnsi="Arial" w:cs="Arial"/>
          <w:b/>
          <w:bCs/>
        </w:rPr>
        <w:t>as the residential parent and legal custodian.</w:t>
      </w:r>
    </w:p>
    <w:p w14:paraId="7AF82A9F" w14:textId="6C82C73D" w:rsidR="004432A7" w:rsidRPr="00535EBB" w:rsidRDefault="004432A7" w:rsidP="004432A7">
      <w:pPr>
        <w:pStyle w:val="ListParagraph"/>
        <w:numPr>
          <w:ilvl w:val="2"/>
          <w:numId w:val="7"/>
        </w:numPr>
        <w:jc w:val="both"/>
        <w:rPr>
          <w:rFonts w:ascii="Arial" w:hAnsi="Arial" w:cs="Arial"/>
        </w:rPr>
      </w:pPr>
      <w:r w:rsidRPr="00535EBB">
        <w:rPr>
          <w:rFonts w:ascii="Arial" w:hAnsi="Arial" w:cs="Arial"/>
        </w:rPr>
        <w:t>The father claims the trial court ignored the custody-evaluation report.</w:t>
      </w:r>
    </w:p>
    <w:p w14:paraId="37032067" w14:textId="707035D4" w:rsidR="004E0B9D" w:rsidRPr="00535EBB" w:rsidRDefault="004E0B9D" w:rsidP="004E0B9D">
      <w:pPr>
        <w:pStyle w:val="ListParagraph"/>
        <w:numPr>
          <w:ilvl w:val="0"/>
          <w:numId w:val="7"/>
        </w:numPr>
        <w:jc w:val="both"/>
        <w:rPr>
          <w:rFonts w:ascii="Arial" w:hAnsi="Arial" w:cs="Arial"/>
        </w:rPr>
      </w:pPr>
      <w:r w:rsidRPr="00535EBB">
        <w:rPr>
          <w:rFonts w:ascii="Arial" w:hAnsi="Arial" w:cs="Arial"/>
        </w:rPr>
        <w:t>Law</w:t>
      </w:r>
    </w:p>
    <w:p w14:paraId="494A6B79" w14:textId="3E6207AF" w:rsidR="001A19C9" w:rsidRPr="00535EBB" w:rsidRDefault="00AC13A1" w:rsidP="001A19C9">
      <w:pPr>
        <w:pStyle w:val="ListParagraph"/>
        <w:numPr>
          <w:ilvl w:val="1"/>
          <w:numId w:val="7"/>
        </w:numPr>
        <w:jc w:val="both"/>
        <w:rPr>
          <w:rFonts w:ascii="Arial" w:hAnsi="Arial" w:cs="Arial"/>
        </w:rPr>
      </w:pPr>
      <w:r w:rsidRPr="00535EBB">
        <w:rPr>
          <w:rFonts w:ascii="Arial" w:hAnsi="Arial" w:cs="Arial"/>
        </w:rPr>
        <w:t>In any custody recommendation, the court must determine the best interest of the child using all relevant factors prescribed in R.C. 3109.04(F)(1).</w:t>
      </w:r>
      <w:r w:rsidR="001A19C9" w:rsidRPr="00535EBB">
        <w:rPr>
          <w:rFonts w:ascii="Arial" w:hAnsi="Arial" w:cs="Arial"/>
        </w:rPr>
        <w:t xml:space="preserve"> “No single fac</w:t>
      </w:r>
      <w:r w:rsidR="00EB2A7E" w:rsidRPr="00535EBB">
        <w:rPr>
          <w:rFonts w:ascii="Arial" w:hAnsi="Arial" w:cs="Arial"/>
        </w:rPr>
        <w:t>tor is determinative of the best interest of a child; rather, the determination should be made in light of the totality of the circumstances.”</w:t>
      </w:r>
    </w:p>
    <w:p w14:paraId="21DEE587" w14:textId="04CC558D" w:rsidR="008A4F51" w:rsidRPr="00535EBB" w:rsidRDefault="008A4F51" w:rsidP="001A19C9">
      <w:pPr>
        <w:pStyle w:val="ListParagraph"/>
        <w:numPr>
          <w:ilvl w:val="1"/>
          <w:numId w:val="7"/>
        </w:numPr>
        <w:jc w:val="both"/>
        <w:rPr>
          <w:rFonts w:ascii="Arial" w:hAnsi="Arial" w:cs="Arial"/>
        </w:rPr>
      </w:pPr>
      <w:r w:rsidRPr="00535EBB">
        <w:rPr>
          <w:rFonts w:ascii="Arial" w:hAnsi="Arial" w:cs="Arial"/>
        </w:rPr>
        <w:t>“A trial court has broad discretion in allocating parental rights and responsibilities</w:t>
      </w:r>
      <w:r w:rsidR="00D53805" w:rsidRPr="00535EBB">
        <w:rPr>
          <w:rFonts w:ascii="Arial" w:hAnsi="Arial" w:cs="Arial"/>
        </w:rPr>
        <w:t>,</w:t>
      </w:r>
      <w:r w:rsidRPr="00535EBB">
        <w:rPr>
          <w:rFonts w:ascii="Arial" w:hAnsi="Arial" w:cs="Arial"/>
        </w:rPr>
        <w:t xml:space="preserve"> and its decision will not be reversed absent an abuse of discretion.”</w:t>
      </w:r>
      <w:r w:rsidR="00D53805" w:rsidRPr="00535EBB">
        <w:rPr>
          <w:rFonts w:ascii="Arial" w:hAnsi="Arial" w:cs="Arial"/>
        </w:rPr>
        <w:t xml:space="preserve"> “</w:t>
      </w:r>
      <w:r w:rsidR="00D53805" w:rsidRPr="00535EBB">
        <w:rPr>
          <w:rFonts w:ascii="Arial" w:hAnsi="Arial" w:cs="Arial"/>
          <w:b/>
          <w:bCs/>
        </w:rPr>
        <w:t xml:space="preserve">So long as there is competent and credible evidence in the record to support the custody determination, the trial court’s decision </w:t>
      </w:r>
      <w:r w:rsidR="007B0BEA" w:rsidRPr="00535EBB">
        <w:rPr>
          <w:rFonts w:ascii="Arial" w:hAnsi="Arial" w:cs="Arial"/>
          <w:b/>
          <w:bCs/>
        </w:rPr>
        <w:t>will stand</w:t>
      </w:r>
      <w:r w:rsidR="007B0BEA" w:rsidRPr="00535EBB">
        <w:rPr>
          <w:rFonts w:ascii="Arial" w:hAnsi="Arial" w:cs="Arial"/>
        </w:rPr>
        <w:t>.”</w:t>
      </w:r>
    </w:p>
    <w:p w14:paraId="3FD28616" w14:textId="211E0777" w:rsidR="00CF35E5" w:rsidRPr="00535EBB" w:rsidRDefault="00677834" w:rsidP="00CF35E5">
      <w:pPr>
        <w:pStyle w:val="ListParagraph"/>
        <w:numPr>
          <w:ilvl w:val="0"/>
          <w:numId w:val="7"/>
        </w:numPr>
        <w:jc w:val="both"/>
        <w:rPr>
          <w:rFonts w:ascii="Arial" w:hAnsi="Arial" w:cs="Arial"/>
        </w:rPr>
      </w:pPr>
      <w:r w:rsidRPr="00535EBB">
        <w:rPr>
          <w:rFonts w:ascii="Arial" w:hAnsi="Arial" w:cs="Arial"/>
        </w:rPr>
        <w:t xml:space="preserve">Holding </w:t>
      </w:r>
    </w:p>
    <w:p w14:paraId="675AFCCE" w14:textId="6F85FEC8" w:rsidR="00677834" w:rsidRPr="00535EBB" w:rsidRDefault="001120CF" w:rsidP="00677834">
      <w:pPr>
        <w:pStyle w:val="ListParagraph"/>
        <w:numPr>
          <w:ilvl w:val="1"/>
          <w:numId w:val="7"/>
        </w:numPr>
        <w:jc w:val="both"/>
        <w:rPr>
          <w:rFonts w:ascii="Arial" w:hAnsi="Arial" w:cs="Arial"/>
        </w:rPr>
      </w:pPr>
      <w:r w:rsidRPr="00535EBB">
        <w:rPr>
          <w:rFonts w:ascii="Arial" w:hAnsi="Arial" w:cs="Arial"/>
        </w:rPr>
        <w:lastRenderedPageBreak/>
        <w:t xml:space="preserve">The court </w:t>
      </w:r>
      <w:r w:rsidR="00865676" w:rsidRPr="00535EBB">
        <w:rPr>
          <w:rFonts w:ascii="Arial" w:hAnsi="Arial" w:cs="Arial"/>
        </w:rPr>
        <w:t>stated</w:t>
      </w:r>
      <w:r w:rsidRPr="00535EBB">
        <w:rPr>
          <w:rFonts w:ascii="Arial" w:hAnsi="Arial" w:cs="Arial"/>
        </w:rPr>
        <w:t xml:space="preserve"> that the trial court considered </w:t>
      </w:r>
      <w:r w:rsidR="004F6939" w:rsidRPr="00535EBB">
        <w:rPr>
          <w:rFonts w:ascii="Arial" w:hAnsi="Arial" w:cs="Arial"/>
        </w:rPr>
        <w:t xml:space="preserve">the relevant R.C. 3109.04 best-interest factors, the </w:t>
      </w:r>
      <w:proofErr w:type="gramStart"/>
      <w:r w:rsidR="004F6939" w:rsidRPr="00535EBB">
        <w:rPr>
          <w:rFonts w:ascii="Arial" w:hAnsi="Arial" w:cs="Arial"/>
        </w:rPr>
        <w:t>2020 GAL</w:t>
      </w:r>
      <w:proofErr w:type="gramEnd"/>
      <w:r w:rsidR="004F6939" w:rsidRPr="00535EBB">
        <w:rPr>
          <w:rFonts w:ascii="Arial" w:hAnsi="Arial" w:cs="Arial"/>
        </w:rPr>
        <w:t xml:space="preserve"> report, </w:t>
      </w:r>
      <w:r w:rsidR="005943A4" w:rsidRPr="00535EBB">
        <w:rPr>
          <w:rFonts w:ascii="Arial" w:hAnsi="Arial" w:cs="Arial"/>
        </w:rPr>
        <w:t>the</w:t>
      </w:r>
      <w:r w:rsidR="004C2B5A" w:rsidRPr="00535EBB">
        <w:rPr>
          <w:rFonts w:ascii="Arial" w:hAnsi="Arial" w:cs="Arial"/>
        </w:rPr>
        <w:t xml:space="preserve"> 2021</w:t>
      </w:r>
      <w:r w:rsidR="005943A4" w:rsidRPr="00535EBB">
        <w:rPr>
          <w:rFonts w:ascii="Arial" w:hAnsi="Arial" w:cs="Arial"/>
        </w:rPr>
        <w:t xml:space="preserve"> custody evaluation, and testimony</w:t>
      </w:r>
      <w:r w:rsidR="001F7214" w:rsidRPr="00535EBB">
        <w:rPr>
          <w:rFonts w:ascii="Arial" w:hAnsi="Arial" w:cs="Arial"/>
        </w:rPr>
        <w:t xml:space="preserve">, and carefully </w:t>
      </w:r>
      <w:r w:rsidR="004F7485" w:rsidRPr="00535EBB">
        <w:rPr>
          <w:rFonts w:ascii="Arial" w:hAnsi="Arial" w:cs="Arial"/>
        </w:rPr>
        <w:t xml:space="preserve">weighed all </w:t>
      </w:r>
      <w:r w:rsidR="006C12F8" w:rsidRPr="00535EBB">
        <w:rPr>
          <w:rFonts w:ascii="Arial" w:hAnsi="Arial" w:cs="Arial"/>
        </w:rPr>
        <w:t>the appropriate R.C. 3109.04 factors in reaching its custody decision.</w:t>
      </w:r>
      <w:r w:rsidR="00A05420" w:rsidRPr="00535EBB">
        <w:rPr>
          <w:rFonts w:ascii="Arial" w:hAnsi="Arial" w:cs="Arial"/>
        </w:rPr>
        <w:t xml:space="preserve"> Thus, the trial court did not abuse its discretion in its custody determin</w:t>
      </w:r>
      <w:r w:rsidR="006564FC" w:rsidRPr="00535EBB">
        <w:rPr>
          <w:rFonts w:ascii="Arial" w:hAnsi="Arial" w:cs="Arial"/>
        </w:rPr>
        <w:t>ation.</w:t>
      </w:r>
    </w:p>
    <w:p w14:paraId="70888733" w14:textId="4A61920C" w:rsidR="009D19C8" w:rsidRPr="00535EBB" w:rsidRDefault="00CB40D4" w:rsidP="004F7485">
      <w:pPr>
        <w:pStyle w:val="ListParagraph"/>
        <w:numPr>
          <w:ilvl w:val="2"/>
          <w:numId w:val="7"/>
        </w:numPr>
        <w:jc w:val="both"/>
        <w:rPr>
          <w:rFonts w:ascii="Arial" w:hAnsi="Arial" w:cs="Arial"/>
        </w:rPr>
      </w:pPr>
      <w:r w:rsidRPr="00535EBB">
        <w:rPr>
          <w:rFonts w:ascii="Arial" w:hAnsi="Arial" w:cs="Arial"/>
          <w:b/>
          <w:bCs/>
        </w:rPr>
        <w:t xml:space="preserve">The court </w:t>
      </w:r>
      <w:r w:rsidR="00C27530" w:rsidRPr="00535EBB">
        <w:rPr>
          <w:rFonts w:ascii="Arial" w:hAnsi="Arial" w:cs="Arial"/>
          <w:b/>
          <w:bCs/>
        </w:rPr>
        <w:t>noted the mother’s history of reacting harshly with the children, which resulted in aggressive altercations. However, the mother took the custody evaluation report seriously and sought counseling</w:t>
      </w:r>
      <w:r w:rsidR="00C27530" w:rsidRPr="00535EBB">
        <w:rPr>
          <w:rFonts w:ascii="Arial" w:hAnsi="Arial" w:cs="Arial"/>
        </w:rPr>
        <w:t xml:space="preserve">. </w:t>
      </w:r>
      <w:r w:rsidR="00065B25" w:rsidRPr="00535EBB">
        <w:rPr>
          <w:rFonts w:ascii="Arial" w:hAnsi="Arial" w:cs="Arial"/>
        </w:rPr>
        <w:t xml:space="preserve">The court also noted </w:t>
      </w:r>
      <w:r w:rsidR="00F0611B" w:rsidRPr="00535EBB">
        <w:rPr>
          <w:rFonts w:ascii="Arial" w:hAnsi="Arial" w:cs="Arial"/>
        </w:rPr>
        <w:t xml:space="preserve">that </w:t>
      </w:r>
      <w:r w:rsidR="00065B25" w:rsidRPr="00535EBB">
        <w:rPr>
          <w:rFonts w:ascii="Arial" w:hAnsi="Arial" w:cs="Arial"/>
        </w:rPr>
        <w:t xml:space="preserve">the father </w:t>
      </w:r>
      <w:r w:rsidR="00865676" w:rsidRPr="00535EBB">
        <w:rPr>
          <w:rFonts w:ascii="Arial" w:hAnsi="Arial" w:cs="Arial"/>
        </w:rPr>
        <w:t xml:space="preserve">denied the mother parenting time and </w:t>
      </w:r>
      <w:r w:rsidR="00065B25" w:rsidRPr="00535EBB">
        <w:rPr>
          <w:rFonts w:ascii="Arial" w:hAnsi="Arial" w:cs="Arial"/>
        </w:rPr>
        <w:t xml:space="preserve">reported </w:t>
      </w:r>
      <w:r w:rsidR="00865676" w:rsidRPr="00535EBB">
        <w:rPr>
          <w:rFonts w:ascii="Arial" w:hAnsi="Arial" w:cs="Arial"/>
        </w:rPr>
        <w:t>her</w:t>
      </w:r>
      <w:r w:rsidR="00065B25" w:rsidRPr="00535EBB">
        <w:rPr>
          <w:rFonts w:ascii="Arial" w:hAnsi="Arial" w:cs="Arial"/>
        </w:rPr>
        <w:t xml:space="preserve"> to </w:t>
      </w:r>
      <w:r w:rsidR="00865676" w:rsidRPr="00535EBB">
        <w:rPr>
          <w:rFonts w:ascii="Arial" w:hAnsi="Arial" w:cs="Arial"/>
        </w:rPr>
        <w:t>C</w:t>
      </w:r>
      <w:r w:rsidR="00065B25" w:rsidRPr="00535EBB">
        <w:rPr>
          <w:rFonts w:ascii="Arial" w:hAnsi="Arial" w:cs="Arial"/>
        </w:rPr>
        <w:t xml:space="preserve">hildren’s </w:t>
      </w:r>
      <w:r w:rsidR="00865676" w:rsidRPr="00535EBB">
        <w:rPr>
          <w:rFonts w:ascii="Arial" w:hAnsi="Arial" w:cs="Arial"/>
        </w:rPr>
        <w:t>S</w:t>
      </w:r>
      <w:r w:rsidR="00065B25" w:rsidRPr="00535EBB">
        <w:rPr>
          <w:rFonts w:ascii="Arial" w:hAnsi="Arial" w:cs="Arial"/>
        </w:rPr>
        <w:t xml:space="preserve">ervices </w:t>
      </w:r>
      <w:r w:rsidR="00F0611B" w:rsidRPr="00535EBB">
        <w:rPr>
          <w:rFonts w:ascii="Arial" w:hAnsi="Arial" w:cs="Arial"/>
        </w:rPr>
        <w:t xml:space="preserve">ten times within nine months, </w:t>
      </w:r>
      <w:r w:rsidR="00CE78B8" w:rsidRPr="00535EBB">
        <w:rPr>
          <w:rFonts w:ascii="Arial" w:hAnsi="Arial" w:cs="Arial"/>
        </w:rPr>
        <w:t>each</w:t>
      </w:r>
      <w:r w:rsidR="00F0611B" w:rsidRPr="00535EBB">
        <w:rPr>
          <w:rFonts w:ascii="Arial" w:hAnsi="Arial" w:cs="Arial"/>
        </w:rPr>
        <w:t xml:space="preserve"> resulting in unsubstantiated allegations. </w:t>
      </w:r>
    </w:p>
    <w:sectPr w:rsidR="009D19C8" w:rsidRPr="00535E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357C" w14:textId="77777777" w:rsidR="00C23C2A" w:rsidRDefault="00C23C2A" w:rsidP="00525B20">
      <w:pPr>
        <w:spacing w:after="0" w:line="240" w:lineRule="auto"/>
      </w:pPr>
      <w:r>
        <w:separator/>
      </w:r>
    </w:p>
  </w:endnote>
  <w:endnote w:type="continuationSeparator" w:id="0">
    <w:p w14:paraId="41DDB0D3" w14:textId="77777777" w:rsidR="00C23C2A" w:rsidRDefault="00C23C2A" w:rsidP="0052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3206653"/>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F993888" w14:textId="729C356B" w:rsidR="008D7D53" w:rsidRPr="00AB551F" w:rsidRDefault="008D7D53">
            <w:pPr>
              <w:pStyle w:val="Footer"/>
              <w:jc w:val="center"/>
              <w:rPr>
                <w:rFonts w:ascii="Arial" w:hAnsi="Arial" w:cs="Arial"/>
              </w:rPr>
            </w:pPr>
            <w:r w:rsidRPr="00AB551F">
              <w:rPr>
                <w:rFonts w:ascii="Arial" w:hAnsi="Arial" w:cs="Arial"/>
              </w:rPr>
              <w:t xml:space="preserve">Page </w:t>
            </w:r>
            <w:r w:rsidRPr="00AB551F">
              <w:rPr>
                <w:rFonts w:ascii="Arial" w:hAnsi="Arial" w:cs="Arial"/>
              </w:rPr>
              <w:fldChar w:fldCharType="begin"/>
            </w:r>
            <w:r w:rsidRPr="00AB551F">
              <w:rPr>
                <w:rFonts w:ascii="Arial" w:hAnsi="Arial" w:cs="Arial"/>
              </w:rPr>
              <w:instrText xml:space="preserve"> PAGE </w:instrText>
            </w:r>
            <w:r w:rsidRPr="00AB551F">
              <w:rPr>
                <w:rFonts w:ascii="Arial" w:hAnsi="Arial" w:cs="Arial"/>
              </w:rPr>
              <w:fldChar w:fldCharType="separate"/>
            </w:r>
            <w:r w:rsidRPr="00AB551F">
              <w:rPr>
                <w:rFonts w:ascii="Arial" w:hAnsi="Arial" w:cs="Arial"/>
                <w:noProof/>
              </w:rPr>
              <w:t>2</w:t>
            </w:r>
            <w:r w:rsidRPr="00AB551F">
              <w:rPr>
                <w:rFonts w:ascii="Arial" w:hAnsi="Arial" w:cs="Arial"/>
              </w:rPr>
              <w:fldChar w:fldCharType="end"/>
            </w:r>
            <w:r w:rsidRPr="00AB551F">
              <w:rPr>
                <w:rFonts w:ascii="Arial" w:hAnsi="Arial" w:cs="Arial"/>
              </w:rPr>
              <w:t xml:space="preserve"> of </w:t>
            </w:r>
            <w:r w:rsidRPr="00AB551F">
              <w:rPr>
                <w:rFonts w:ascii="Arial" w:hAnsi="Arial" w:cs="Arial"/>
              </w:rPr>
              <w:fldChar w:fldCharType="begin"/>
            </w:r>
            <w:r w:rsidRPr="00AB551F">
              <w:rPr>
                <w:rFonts w:ascii="Arial" w:hAnsi="Arial" w:cs="Arial"/>
              </w:rPr>
              <w:instrText xml:space="preserve"> NUMPAGES  </w:instrText>
            </w:r>
            <w:r w:rsidRPr="00AB551F">
              <w:rPr>
                <w:rFonts w:ascii="Arial" w:hAnsi="Arial" w:cs="Arial"/>
              </w:rPr>
              <w:fldChar w:fldCharType="separate"/>
            </w:r>
            <w:r w:rsidRPr="00AB551F">
              <w:rPr>
                <w:rFonts w:ascii="Arial" w:hAnsi="Arial" w:cs="Arial"/>
                <w:noProof/>
              </w:rPr>
              <w:t>2</w:t>
            </w:r>
            <w:r w:rsidRPr="00AB551F">
              <w:rPr>
                <w:rFonts w:ascii="Arial" w:hAnsi="Arial" w:cs="Arial"/>
              </w:rPr>
              <w:fldChar w:fldCharType="end"/>
            </w:r>
          </w:p>
        </w:sdtContent>
      </w:sdt>
    </w:sdtContent>
  </w:sdt>
  <w:p w14:paraId="4090B1BE" w14:textId="77777777" w:rsidR="00525B20" w:rsidRPr="00AB551F" w:rsidRDefault="00525B2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BDFC" w14:textId="77777777" w:rsidR="00C23C2A" w:rsidRDefault="00C23C2A" w:rsidP="00525B20">
      <w:pPr>
        <w:spacing w:after="0" w:line="240" w:lineRule="auto"/>
      </w:pPr>
      <w:r>
        <w:separator/>
      </w:r>
    </w:p>
  </w:footnote>
  <w:footnote w:type="continuationSeparator" w:id="0">
    <w:p w14:paraId="0E7E15B2" w14:textId="77777777" w:rsidR="00C23C2A" w:rsidRDefault="00C23C2A" w:rsidP="00525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FA1"/>
    <w:multiLevelType w:val="hybridMultilevel"/>
    <w:tmpl w:val="166A6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1E9"/>
    <w:multiLevelType w:val="hybridMultilevel"/>
    <w:tmpl w:val="7EF61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F575A"/>
    <w:multiLevelType w:val="hybridMultilevel"/>
    <w:tmpl w:val="A7842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C2911"/>
    <w:multiLevelType w:val="hybridMultilevel"/>
    <w:tmpl w:val="5552B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103CF"/>
    <w:multiLevelType w:val="hybridMultilevel"/>
    <w:tmpl w:val="8D5CA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1340C"/>
    <w:multiLevelType w:val="hybridMultilevel"/>
    <w:tmpl w:val="CB94A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67B55"/>
    <w:multiLevelType w:val="hybridMultilevel"/>
    <w:tmpl w:val="CF240DE6"/>
    <w:lvl w:ilvl="0" w:tplc="BFB8816E">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E30FD"/>
    <w:multiLevelType w:val="hybridMultilevel"/>
    <w:tmpl w:val="4BE8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497562">
    <w:abstractNumId w:val="6"/>
  </w:num>
  <w:num w:numId="2" w16cid:durableId="1402563884">
    <w:abstractNumId w:val="7"/>
  </w:num>
  <w:num w:numId="3" w16cid:durableId="758251543">
    <w:abstractNumId w:val="1"/>
  </w:num>
  <w:num w:numId="4" w16cid:durableId="826288299">
    <w:abstractNumId w:val="4"/>
  </w:num>
  <w:num w:numId="5" w16cid:durableId="1752968479">
    <w:abstractNumId w:val="3"/>
  </w:num>
  <w:num w:numId="6" w16cid:durableId="1527333557">
    <w:abstractNumId w:val="5"/>
  </w:num>
  <w:num w:numId="7" w16cid:durableId="2109305086">
    <w:abstractNumId w:val="0"/>
  </w:num>
  <w:num w:numId="8" w16cid:durableId="118347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D7"/>
    <w:rsid w:val="00012721"/>
    <w:rsid w:val="00014D26"/>
    <w:rsid w:val="000161DA"/>
    <w:rsid w:val="000223F6"/>
    <w:rsid w:val="00025BD4"/>
    <w:rsid w:val="00031996"/>
    <w:rsid w:val="00034DDC"/>
    <w:rsid w:val="00051806"/>
    <w:rsid w:val="00061908"/>
    <w:rsid w:val="00065B25"/>
    <w:rsid w:val="000768B1"/>
    <w:rsid w:val="00077BE8"/>
    <w:rsid w:val="00084B67"/>
    <w:rsid w:val="000956F1"/>
    <w:rsid w:val="000A602A"/>
    <w:rsid w:val="000A647F"/>
    <w:rsid w:val="000B7F79"/>
    <w:rsid w:val="000C7C15"/>
    <w:rsid w:val="000E661A"/>
    <w:rsid w:val="000F05E9"/>
    <w:rsid w:val="000F15E6"/>
    <w:rsid w:val="000F190C"/>
    <w:rsid w:val="000F24B5"/>
    <w:rsid w:val="0010122C"/>
    <w:rsid w:val="00103005"/>
    <w:rsid w:val="00104937"/>
    <w:rsid w:val="00104EB3"/>
    <w:rsid w:val="001061FA"/>
    <w:rsid w:val="00107AE6"/>
    <w:rsid w:val="001120CF"/>
    <w:rsid w:val="00115F92"/>
    <w:rsid w:val="001245BD"/>
    <w:rsid w:val="00127B33"/>
    <w:rsid w:val="00152DAE"/>
    <w:rsid w:val="00156D44"/>
    <w:rsid w:val="00162C0E"/>
    <w:rsid w:val="0016587F"/>
    <w:rsid w:val="00171BDF"/>
    <w:rsid w:val="0017235A"/>
    <w:rsid w:val="00181243"/>
    <w:rsid w:val="001919CE"/>
    <w:rsid w:val="001A15D0"/>
    <w:rsid w:val="001A19C9"/>
    <w:rsid w:val="001A2F22"/>
    <w:rsid w:val="001C6717"/>
    <w:rsid w:val="001C6E02"/>
    <w:rsid w:val="001C7C81"/>
    <w:rsid w:val="001D2DEF"/>
    <w:rsid w:val="001D4305"/>
    <w:rsid w:val="001D7942"/>
    <w:rsid w:val="001F1EDF"/>
    <w:rsid w:val="001F4925"/>
    <w:rsid w:val="001F7214"/>
    <w:rsid w:val="002041ED"/>
    <w:rsid w:val="002167AA"/>
    <w:rsid w:val="00237A5C"/>
    <w:rsid w:val="00241A95"/>
    <w:rsid w:val="00243A23"/>
    <w:rsid w:val="002478C1"/>
    <w:rsid w:val="00255C42"/>
    <w:rsid w:val="002601E2"/>
    <w:rsid w:val="00265565"/>
    <w:rsid w:val="00265D42"/>
    <w:rsid w:val="002727F0"/>
    <w:rsid w:val="00272B81"/>
    <w:rsid w:val="00276399"/>
    <w:rsid w:val="00287D8C"/>
    <w:rsid w:val="00290488"/>
    <w:rsid w:val="00292B7D"/>
    <w:rsid w:val="002A25A8"/>
    <w:rsid w:val="002A6009"/>
    <w:rsid w:val="002B0B69"/>
    <w:rsid w:val="002C160F"/>
    <w:rsid w:val="002D5BEC"/>
    <w:rsid w:val="002E30D9"/>
    <w:rsid w:val="002F2A22"/>
    <w:rsid w:val="002F69D4"/>
    <w:rsid w:val="00304376"/>
    <w:rsid w:val="003044BE"/>
    <w:rsid w:val="00330C79"/>
    <w:rsid w:val="0033291B"/>
    <w:rsid w:val="00357539"/>
    <w:rsid w:val="00370971"/>
    <w:rsid w:val="003721CE"/>
    <w:rsid w:val="00372708"/>
    <w:rsid w:val="00372AF5"/>
    <w:rsid w:val="003836ED"/>
    <w:rsid w:val="00391CF7"/>
    <w:rsid w:val="003920C5"/>
    <w:rsid w:val="003C34E0"/>
    <w:rsid w:val="003C6E25"/>
    <w:rsid w:val="003D31AA"/>
    <w:rsid w:val="004033EB"/>
    <w:rsid w:val="0041071B"/>
    <w:rsid w:val="00422623"/>
    <w:rsid w:val="00430022"/>
    <w:rsid w:val="004317D1"/>
    <w:rsid w:val="00435801"/>
    <w:rsid w:val="004432A7"/>
    <w:rsid w:val="00450A69"/>
    <w:rsid w:val="00466759"/>
    <w:rsid w:val="00490E64"/>
    <w:rsid w:val="004940F3"/>
    <w:rsid w:val="004C2B5A"/>
    <w:rsid w:val="004C70D4"/>
    <w:rsid w:val="004E0B9D"/>
    <w:rsid w:val="004E3854"/>
    <w:rsid w:val="004E4411"/>
    <w:rsid w:val="004F6939"/>
    <w:rsid w:val="004F7485"/>
    <w:rsid w:val="00513DCD"/>
    <w:rsid w:val="0052096E"/>
    <w:rsid w:val="00525B20"/>
    <w:rsid w:val="00526B1B"/>
    <w:rsid w:val="00530A24"/>
    <w:rsid w:val="00530E35"/>
    <w:rsid w:val="00531A1E"/>
    <w:rsid w:val="00535EBB"/>
    <w:rsid w:val="00540B83"/>
    <w:rsid w:val="005465CD"/>
    <w:rsid w:val="005468C6"/>
    <w:rsid w:val="00566F8C"/>
    <w:rsid w:val="0057137C"/>
    <w:rsid w:val="0057626A"/>
    <w:rsid w:val="005805A2"/>
    <w:rsid w:val="00583546"/>
    <w:rsid w:val="005863B2"/>
    <w:rsid w:val="00586CA0"/>
    <w:rsid w:val="00590D9C"/>
    <w:rsid w:val="005933A2"/>
    <w:rsid w:val="005943A4"/>
    <w:rsid w:val="005A4512"/>
    <w:rsid w:val="005B3BA1"/>
    <w:rsid w:val="005C2E9D"/>
    <w:rsid w:val="005C456C"/>
    <w:rsid w:val="005C5FAB"/>
    <w:rsid w:val="005E0818"/>
    <w:rsid w:val="005E31D3"/>
    <w:rsid w:val="005E6CA0"/>
    <w:rsid w:val="00613C23"/>
    <w:rsid w:val="00637A36"/>
    <w:rsid w:val="006564FC"/>
    <w:rsid w:val="00656DA4"/>
    <w:rsid w:val="00666FE0"/>
    <w:rsid w:val="0067696A"/>
    <w:rsid w:val="00677834"/>
    <w:rsid w:val="0068001D"/>
    <w:rsid w:val="0068089D"/>
    <w:rsid w:val="006A3E40"/>
    <w:rsid w:val="006B6D23"/>
    <w:rsid w:val="006C12F8"/>
    <w:rsid w:val="006E1D5D"/>
    <w:rsid w:val="006E28D7"/>
    <w:rsid w:val="006F2AC8"/>
    <w:rsid w:val="006F708D"/>
    <w:rsid w:val="006F7224"/>
    <w:rsid w:val="0070067B"/>
    <w:rsid w:val="007236F3"/>
    <w:rsid w:val="007468D2"/>
    <w:rsid w:val="007562CA"/>
    <w:rsid w:val="00763D3C"/>
    <w:rsid w:val="00763D99"/>
    <w:rsid w:val="00764E2D"/>
    <w:rsid w:val="00765180"/>
    <w:rsid w:val="007754EF"/>
    <w:rsid w:val="007839B3"/>
    <w:rsid w:val="00783CE1"/>
    <w:rsid w:val="0078649A"/>
    <w:rsid w:val="007A29FC"/>
    <w:rsid w:val="007B0BEA"/>
    <w:rsid w:val="007B55D4"/>
    <w:rsid w:val="007C1192"/>
    <w:rsid w:val="007C6628"/>
    <w:rsid w:val="007D5559"/>
    <w:rsid w:val="007E24E4"/>
    <w:rsid w:val="007E7702"/>
    <w:rsid w:val="007F2498"/>
    <w:rsid w:val="007F7D55"/>
    <w:rsid w:val="00803DFD"/>
    <w:rsid w:val="00805BF7"/>
    <w:rsid w:val="00812575"/>
    <w:rsid w:val="0082062E"/>
    <w:rsid w:val="008223B4"/>
    <w:rsid w:val="008265F9"/>
    <w:rsid w:val="00834672"/>
    <w:rsid w:val="008347F6"/>
    <w:rsid w:val="00834C77"/>
    <w:rsid w:val="00844B50"/>
    <w:rsid w:val="00855ECF"/>
    <w:rsid w:val="008641FA"/>
    <w:rsid w:val="00865676"/>
    <w:rsid w:val="008809ED"/>
    <w:rsid w:val="008A4F51"/>
    <w:rsid w:val="008B26E0"/>
    <w:rsid w:val="008C69E5"/>
    <w:rsid w:val="008D7D53"/>
    <w:rsid w:val="008E6BD5"/>
    <w:rsid w:val="008F44CD"/>
    <w:rsid w:val="00901096"/>
    <w:rsid w:val="009140F4"/>
    <w:rsid w:val="009328E8"/>
    <w:rsid w:val="00940866"/>
    <w:rsid w:val="00941861"/>
    <w:rsid w:val="00945B6B"/>
    <w:rsid w:val="00956686"/>
    <w:rsid w:val="00957FE8"/>
    <w:rsid w:val="009614DD"/>
    <w:rsid w:val="00963B74"/>
    <w:rsid w:val="00987164"/>
    <w:rsid w:val="00991DF8"/>
    <w:rsid w:val="00997B88"/>
    <w:rsid w:val="009B055C"/>
    <w:rsid w:val="009D19C8"/>
    <w:rsid w:val="009D3975"/>
    <w:rsid w:val="009D75DA"/>
    <w:rsid w:val="009E3386"/>
    <w:rsid w:val="009E455D"/>
    <w:rsid w:val="009F453F"/>
    <w:rsid w:val="009F567C"/>
    <w:rsid w:val="009F5DC4"/>
    <w:rsid w:val="009F6166"/>
    <w:rsid w:val="00A05420"/>
    <w:rsid w:val="00A078EE"/>
    <w:rsid w:val="00A148E7"/>
    <w:rsid w:val="00A251BF"/>
    <w:rsid w:val="00A300F7"/>
    <w:rsid w:val="00A5049E"/>
    <w:rsid w:val="00A67D4E"/>
    <w:rsid w:val="00A71824"/>
    <w:rsid w:val="00A77A04"/>
    <w:rsid w:val="00A827EB"/>
    <w:rsid w:val="00A85AA7"/>
    <w:rsid w:val="00A86300"/>
    <w:rsid w:val="00A86B38"/>
    <w:rsid w:val="00A94102"/>
    <w:rsid w:val="00A94766"/>
    <w:rsid w:val="00AA6154"/>
    <w:rsid w:val="00AA7A6E"/>
    <w:rsid w:val="00AB1400"/>
    <w:rsid w:val="00AB1B36"/>
    <w:rsid w:val="00AB2DC4"/>
    <w:rsid w:val="00AB551F"/>
    <w:rsid w:val="00AC13A1"/>
    <w:rsid w:val="00AF158E"/>
    <w:rsid w:val="00AF2CD6"/>
    <w:rsid w:val="00AF5021"/>
    <w:rsid w:val="00B01E01"/>
    <w:rsid w:val="00B025E1"/>
    <w:rsid w:val="00B130F0"/>
    <w:rsid w:val="00B25274"/>
    <w:rsid w:val="00B322BF"/>
    <w:rsid w:val="00B3474F"/>
    <w:rsid w:val="00B369CD"/>
    <w:rsid w:val="00B41923"/>
    <w:rsid w:val="00B42E18"/>
    <w:rsid w:val="00B5004E"/>
    <w:rsid w:val="00B5632C"/>
    <w:rsid w:val="00B5633B"/>
    <w:rsid w:val="00B93885"/>
    <w:rsid w:val="00BA2ECA"/>
    <w:rsid w:val="00BA7876"/>
    <w:rsid w:val="00BC0C5E"/>
    <w:rsid w:val="00BC4F40"/>
    <w:rsid w:val="00BC51F0"/>
    <w:rsid w:val="00BE1876"/>
    <w:rsid w:val="00BE4917"/>
    <w:rsid w:val="00BF4C82"/>
    <w:rsid w:val="00C02A90"/>
    <w:rsid w:val="00C16425"/>
    <w:rsid w:val="00C16C65"/>
    <w:rsid w:val="00C23C2A"/>
    <w:rsid w:val="00C25322"/>
    <w:rsid w:val="00C27530"/>
    <w:rsid w:val="00C278F5"/>
    <w:rsid w:val="00C3179A"/>
    <w:rsid w:val="00C451A3"/>
    <w:rsid w:val="00C84DF7"/>
    <w:rsid w:val="00C92B12"/>
    <w:rsid w:val="00CA2FFD"/>
    <w:rsid w:val="00CA43B1"/>
    <w:rsid w:val="00CB2269"/>
    <w:rsid w:val="00CB2B37"/>
    <w:rsid w:val="00CB40D4"/>
    <w:rsid w:val="00CC6470"/>
    <w:rsid w:val="00CE35E0"/>
    <w:rsid w:val="00CE3626"/>
    <w:rsid w:val="00CE4143"/>
    <w:rsid w:val="00CE78B8"/>
    <w:rsid w:val="00CF2953"/>
    <w:rsid w:val="00CF35E5"/>
    <w:rsid w:val="00CF3EB6"/>
    <w:rsid w:val="00CF7DED"/>
    <w:rsid w:val="00D13C05"/>
    <w:rsid w:val="00D20912"/>
    <w:rsid w:val="00D274EC"/>
    <w:rsid w:val="00D27BDC"/>
    <w:rsid w:val="00D35AC7"/>
    <w:rsid w:val="00D4513C"/>
    <w:rsid w:val="00D4713F"/>
    <w:rsid w:val="00D53805"/>
    <w:rsid w:val="00D57B5B"/>
    <w:rsid w:val="00D721F9"/>
    <w:rsid w:val="00D73C6C"/>
    <w:rsid w:val="00D8247B"/>
    <w:rsid w:val="00D854EF"/>
    <w:rsid w:val="00D90B4A"/>
    <w:rsid w:val="00DA364C"/>
    <w:rsid w:val="00DA4D34"/>
    <w:rsid w:val="00DA7725"/>
    <w:rsid w:val="00DC528E"/>
    <w:rsid w:val="00DD341A"/>
    <w:rsid w:val="00DD3ED3"/>
    <w:rsid w:val="00DD4867"/>
    <w:rsid w:val="00DE4831"/>
    <w:rsid w:val="00DF172F"/>
    <w:rsid w:val="00DF3088"/>
    <w:rsid w:val="00DF5E58"/>
    <w:rsid w:val="00E000E1"/>
    <w:rsid w:val="00E11496"/>
    <w:rsid w:val="00E11E4E"/>
    <w:rsid w:val="00E2744D"/>
    <w:rsid w:val="00E31816"/>
    <w:rsid w:val="00E329F1"/>
    <w:rsid w:val="00E34973"/>
    <w:rsid w:val="00E35C7E"/>
    <w:rsid w:val="00E43AFA"/>
    <w:rsid w:val="00E54010"/>
    <w:rsid w:val="00E6080D"/>
    <w:rsid w:val="00E72C40"/>
    <w:rsid w:val="00E844F6"/>
    <w:rsid w:val="00E87D8C"/>
    <w:rsid w:val="00EA13D4"/>
    <w:rsid w:val="00EB0304"/>
    <w:rsid w:val="00EB07F1"/>
    <w:rsid w:val="00EB2A7E"/>
    <w:rsid w:val="00EC24A6"/>
    <w:rsid w:val="00EC35D5"/>
    <w:rsid w:val="00EC6446"/>
    <w:rsid w:val="00EE18AE"/>
    <w:rsid w:val="00EF60D3"/>
    <w:rsid w:val="00EF672F"/>
    <w:rsid w:val="00F000FA"/>
    <w:rsid w:val="00F055BA"/>
    <w:rsid w:val="00F059C8"/>
    <w:rsid w:val="00F0611B"/>
    <w:rsid w:val="00F06E12"/>
    <w:rsid w:val="00F07052"/>
    <w:rsid w:val="00F10768"/>
    <w:rsid w:val="00F10D75"/>
    <w:rsid w:val="00F11414"/>
    <w:rsid w:val="00F117D1"/>
    <w:rsid w:val="00F12379"/>
    <w:rsid w:val="00F24B4E"/>
    <w:rsid w:val="00F36434"/>
    <w:rsid w:val="00F3669A"/>
    <w:rsid w:val="00F55EC0"/>
    <w:rsid w:val="00F618CA"/>
    <w:rsid w:val="00F62CD1"/>
    <w:rsid w:val="00F70D7E"/>
    <w:rsid w:val="00F964CA"/>
    <w:rsid w:val="00FB15E6"/>
    <w:rsid w:val="00FB4AB0"/>
    <w:rsid w:val="00FD444A"/>
    <w:rsid w:val="00FE5315"/>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A2931"/>
  <w15:chartTrackingRefBased/>
  <w15:docId w15:val="{24741176-ED6F-40C9-92F6-3B31D127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1E2"/>
    <w:pPr>
      <w:jc w:val="both"/>
      <w:outlineLvl w:val="0"/>
    </w:pPr>
    <w:rPr>
      <w:rFonts w:ascii="Arial" w:hAnsi="Arial" w:cs="Arial"/>
      <w:b/>
      <w:bCs/>
      <w:u w:val="single"/>
    </w:rPr>
  </w:style>
  <w:style w:type="paragraph" w:styleId="Heading2">
    <w:name w:val="heading 2"/>
    <w:basedOn w:val="Normal"/>
    <w:next w:val="Normal"/>
    <w:link w:val="Heading2Char"/>
    <w:uiPriority w:val="9"/>
    <w:semiHidden/>
    <w:unhideWhenUsed/>
    <w:qFormat/>
    <w:rsid w:val="006E2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1E2"/>
    <w:rPr>
      <w:rFonts w:ascii="Arial" w:hAnsi="Arial" w:cs="Arial"/>
      <w:b/>
      <w:bCs/>
      <w:u w:val="single"/>
    </w:rPr>
  </w:style>
  <w:style w:type="character" w:customStyle="1" w:styleId="Heading2Char">
    <w:name w:val="Heading 2 Char"/>
    <w:basedOn w:val="DefaultParagraphFont"/>
    <w:link w:val="Heading2"/>
    <w:uiPriority w:val="9"/>
    <w:semiHidden/>
    <w:rsid w:val="006E2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D7"/>
    <w:rPr>
      <w:rFonts w:eastAsiaTheme="majorEastAsia" w:cstheme="majorBidi"/>
      <w:color w:val="272727" w:themeColor="text1" w:themeTint="D8"/>
    </w:rPr>
  </w:style>
  <w:style w:type="paragraph" w:styleId="Title">
    <w:name w:val="Title"/>
    <w:basedOn w:val="Normal"/>
    <w:next w:val="Normal"/>
    <w:link w:val="TitleChar"/>
    <w:uiPriority w:val="10"/>
    <w:qFormat/>
    <w:rsid w:val="006E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D7"/>
    <w:pPr>
      <w:spacing w:before="160"/>
      <w:jc w:val="center"/>
    </w:pPr>
    <w:rPr>
      <w:i/>
      <w:iCs/>
      <w:color w:val="404040" w:themeColor="text1" w:themeTint="BF"/>
    </w:rPr>
  </w:style>
  <w:style w:type="character" w:customStyle="1" w:styleId="QuoteChar">
    <w:name w:val="Quote Char"/>
    <w:basedOn w:val="DefaultParagraphFont"/>
    <w:link w:val="Quote"/>
    <w:uiPriority w:val="29"/>
    <w:rsid w:val="006E28D7"/>
    <w:rPr>
      <w:i/>
      <w:iCs/>
      <w:color w:val="404040" w:themeColor="text1" w:themeTint="BF"/>
    </w:rPr>
  </w:style>
  <w:style w:type="paragraph" w:styleId="ListParagraph">
    <w:name w:val="List Paragraph"/>
    <w:basedOn w:val="Normal"/>
    <w:uiPriority w:val="34"/>
    <w:qFormat/>
    <w:rsid w:val="006E28D7"/>
    <w:pPr>
      <w:ind w:left="720"/>
      <w:contextualSpacing/>
    </w:pPr>
  </w:style>
  <w:style w:type="character" w:styleId="IntenseEmphasis">
    <w:name w:val="Intense Emphasis"/>
    <w:basedOn w:val="DefaultParagraphFont"/>
    <w:uiPriority w:val="21"/>
    <w:qFormat/>
    <w:rsid w:val="006E28D7"/>
    <w:rPr>
      <w:i/>
      <w:iCs/>
      <w:color w:val="0F4761" w:themeColor="accent1" w:themeShade="BF"/>
    </w:rPr>
  </w:style>
  <w:style w:type="paragraph" w:styleId="IntenseQuote">
    <w:name w:val="Intense Quote"/>
    <w:basedOn w:val="Normal"/>
    <w:next w:val="Normal"/>
    <w:link w:val="IntenseQuoteChar"/>
    <w:uiPriority w:val="30"/>
    <w:qFormat/>
    <w:rsid w:val="006E2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8D7"/>
    <w:rPr>
      <w:i/>
      <w:iCs/>
      <w:color w:val="0F4761" w:themeColor="accent1" w:themeShade="BF"/>
    </w:rPr>
  </w:style>
  <w:style w:type="character" w:styleId="IntenseReference">
    <w:name w:val="Intense Reference"/>
    <w:basedOn w:val="DefaultParagraphFont"/>
    <w:uiPriority w:val="32"/>
    <w:qFormat/>
    <w:rsid w:val="006E28D7"/>
    <w:rPr>
      <w:b/>
      <w:bCs/>
      <w:smallCaps/>
      <w:color w:val="0F4761" w:themeColor="accent1" w:themeShade="BF"/>
      <w:spacing w:val="5"/>
    </w:rPr>
  </w:style>
  <w:style w:type="character" w:styleId="Hyperlink">
    <w:name w:val="Hyperlink"/>
    <w:basedOn w:val="DefaultParagraphFont"/>
    <w:uiPriority w:val="99"/>
    <w:unhideWhenUsed/>
    <w:rsid w:val="00CC6470"/>
    <w:rPr>
      <w:color w:val="467886" w:themeColor="hyperlink"/>
      <w:u w:val="single"/>
    </w:rPr>
  </w:style>
  <w:style w:type="character" w:styleId="UnresolvedMention">
    <w:name w:val="Unresolved Mention"/>
    <w:basedOn w:val="DefaultParagraphFont"/>
    <w:uiPriority w:val="99"/>
    <w:semiHidden/>
    <w:unhideWhenUsed/>
    <w:rsid w:val="00CC6470"/>
    <w:rPr>
      <w:color w:val="605E5C"/>
      <w:shd w:val="clear" w:color="auto" w:fill="E1DFDD"/>
    </w:rPr>
  </w:style>
  <w:style w:type="paragraph" w:styleId="Header">
    <w:name w:val="header"/>
    <w:basedOn w:val="Normal"/>
    <w:link w:val="HeaderChar"/>
    <w:uiPriority w:val="99"/>
    <w:unhideWhenUsed/>
    <w:rsid w:val="0052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B20"/>
  </w:style>
  <w:style w:type="paragraph" w:styleId="Footer">
    <w:name w:val="footer"/>
    <w:basedOn w:val="Normal"/>
    <w:link w:val="FooterChar"/>
    <w:uiPriority w:val="99"/>
    <w:unhideWhenUsed/>
    <w:rsid w:val="0052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B20"/>
  </w:style>
  <w:style w:type="paragraph" w:styleId="TOC1">
    <w:name w:val="toc 1"/>
    <w:basedOn w:val="Normal"/>
    <w:next w:val="Normal"/>
    <w:autoRedefine/>
    <w:uiPriority w:val="39"/>
    <w:unhideWhenUsed/>
    <w:rsid w:val="00292B7D"/>
    <w:pPr>
      <w:spacing w:after="100"/>
    </w:pPr>
  </w:style>
  <w:style w:type="character" w:styleId="CommentReference">
    <w:name w:val="annotation reference"/>
    <w:basedOn w:val="DefaultParagraphFont"/>
    <w:uiPriority w:val="99"/>
    <w:semiHidden/>
    <w:unhideWhenUsed/>
    <w:rsid w:val="002727F0"/>
    <w:rPr>
      <w:sz w:val="16"/>
      <w:szCs w:val="16"/>
    </w:rPr>
  </w:style>
  <w:style w:type="paragraph" w:styleId="CommentText">
    <w:name w:val="annotation text"/>
    <w:basedOn w:val="Normal"/>
    <w:link w:val="CommentTextChar"/>
    <w:uiPriority w:val="99"/>
    <w:unhideWhenUsed/>
    <w:rsid w:val="002727F0"/>
    <w:pPr>
      <w:spacing w:line="240" w:lineRule="auto"/>
    </w:pPr>
    <w:rPr>
      <w:sz w:val="20"/>
      <w:szCs w:val="20"/>
    </w:rPr>
  </w:style>
  <w:style w:type="character" w:customStyle="1" w:styleId="CommentTextChar">
    <w:name w:val="Comment Text Char"/>
    <w:basedOn w:val="DefaultParagraphFont"/>
    <w:link w:val="CommentText"/>
    <w:uiPriority w:val="99"/>
    <w:rsid w:val="002727F0"/>
    <w:rPr>
      <w:sz w:val="20"/>
      <w:szCs w:val="20"/>
    </w:rPr>
  </w:style>
  <w:style w:type="paragraph" w:styleId="CommentSubject">
    <w:name w:val="annotation subject"/>
    <w:basedOn w:val="CommentText"/>
    <w:next w:val="CommentText"/>
    <w:link w:val="CommentSubjectChar"/>
    <w:uiPriority w:val="99"/>
    <w:semiHidden/>
    <w:unhideWhenUsed/>
    <w:rsid w:val="002727F0"/>
    <w:rPr>
      <w:b/>
      <w:bCs/>
    </w:rPr>
  </w:style>
  <w:style w:type="character" w:customStyle="1" w:styleId="CommentSubjectChar">
    <w:name w:val="Comment Subject Char"/>
    <w:basedOn w:val="CommentTextChar"/>
    <w:link w:val="CommentSubject"/>
    <w:uiPriority w:val="99"/>
    <w:semiHidden/>
    <w:rsid w:val="002727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16373-2FE1-4154-ADB9-32106EBD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9</Pages>
  <Words>3199</Words>
  <Characters>16747</Characters>
  <Application>Microsoft Office Word</Application>
  <DocSecurity>0</DocSecurity>
  <Lines>341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Heard</dc:creator>
  <cp:keywords/>
  <dc:description/>
  <cp:lastModifiedBy>Victoria Heard</cp:lastModifiedBy>
  <cp:revision>354</cp:revision>
  <dcterms:created xsi:type="dcterms:W3CDTF">2025-10-02T20:17:00Z</dcterms:created>
  <dcterms:modified xsi:type="dcterms:W3CDTF">2025-10-10T14:46:00Z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b016d4d6-8928-4173-a530-161ec1d369aa</vt:lpwstr>
  </property>
  <property fmtid="{D5CDD505-2E9C-101B-9397-08002B2CF9AE}" pid="3" name="MSIP_Label_d39778d9-eb29-4083-bbdf-0bcf676d44c3_Enabled">
    <vt:lpwstr>true</vt:lpwstr>
  </property>
  <property fmtid="{D5CDD505-2E9C-101B-9397-08002B2CF9AE}" pid="4" name="MSIP_Label_d39778d9-eb29-4083-bbdf-0bcf676d44c3_SetDate">
    <vt:lpwstr>2025-10-02T20:31:59Z</vt:lpwstr>
  </property>
  <property fmtid="{D5CDD505-2E9C-101B-9397-08002B2CF9AE}" pid="5" name="MSIP_Label_d39778d9-eb29-4083-bbdf-0bcf676d44c3_Method">
    <vt:lpwstr>Standard</vt:lpwstr>
  </property>
  <property fmtid="{D5CDD505-2E9C-101B-9397-08002B2CF9AE}" pid="6" name="MSIP_Label_d39778d9-eb29-4083-bbdf-0bcf676d44c3_Name">
    <vt:lpwstr>Public 🌐</vt:lpwstr>
  </property>
  <property fmtid="{D5CDD505-2E9C-101B-9397-08002B2CF9AE}" pid="7" name="MSIP_Label_d39778d9-eb29-4083-bbdf-0bcf676d44c3_SiteId">
    <vt:lpwstr>715fe37e-13f5-40d8-9aca-f0251a1e7e1e</vt:lpwstr>
  </property>
  <property fmtid="{D5CDD505-2E9C-101B-9397-08002B2CF9AE}" pid="8" name="MSIP_Label_d39778d9-eb29-4083-bbdf-0bcf676d44c3_ActionId">
    <vt:lpwstr>79770f70-bff3-4291-a12f-5f17acf14f3c</vt:lpwstr>
  </property>
  <property fmtid="{D5CDD505-2E9C-101B-9397-08002B2CF9AE}" pid="9" name="MSIP_Label_d39778d9-eb29-4083-bbdf-0bcf676d44c3_ContentBits">
    <vt:lpwstr>0</vt:lpwstr>
  </property>
  <property fmtid="{D5CDD505-2E9C-101B-9397-08002B2CF9AE}" pid="10" name="MSIP_Label_d39778d9-eb29-4083-bbdf-0bcf676d44c3_Tag">
    <vt:lpwstr>10, 3, 0, 1</vt:lpwstr>
  </property>
</Properties>
</file>